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119"/>
      </w:tblGrid>
      <w:tr w:rsidR="00BD7E3E" w:rsidTr="005A7940">
        <w:tc>
          <w:tcPr>
            <w:tcW w:w="1809" w:type="dxa"/>
            <w:vAlign w:val="bottom"/>
          </w:tcPr>
          <w:p w:rsidR="00BD7E3E" w:rsidRDefault="00596946" w:rsidP="00BD7E3E">
            <w:pPr>
              <w:rPr>
                <w:noProof/>
                <w:sz w:val="20"/>
              </w:rPr>
            </w:pPr>
            <w:r>
              <w:rPr>
                <w:noProof/>
                <w:sz w:val="20"/>
                <w:lang w:eastAsia="fr-FR"/>
              </w:rPr>
              <w:drawing>
                <wp:inline distT="0" distB="0" distL="0" distR="0" wp14:anchorId="73A4E2EB" wp14:editId="17A24969">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934275" w:rsidRDefault="00934275" w:rsidP="005A7940">
            <w:pPr>
              <w:rPr>
                <w:color w:val="1F497D" w:themeColor="text2"/>
              </w:rPr>
            </w:pPr>
            <w:r w:rsidRPr="005A7940">
              <w:rPr>
                <w:rFonts w:eastAsiaTheme="majorEastAsia" w:cstheme="majorBidi"/>
                <w:bCs/>
                <w:color w:val="4F81BD" w:themeColor="accent1"/>
                <w:sz w:val="24"/>
                <w:szCs w:val="26"/>
              </w:rPr>
              <w:t xml:space="preserve">Axe serviteur - </w:t>
            </w:r>
            <w:r w:rsidR="005A7940">
              <w:rPr>
                <w:rFonts w:eastAsiaTheme="majorEastAsia" w:cstheme="majorBidi"/>
                <w:bCs/>
                <w:color w:val="4F81BD" w:themeColor="accent1"/>
                <w:sz w:val="24"/>
                <w:szCs w:val="26"/>
              </w:rPr>
              <w:t>D</w:t>
            </w:r>
            <w:r w:rsidRPr="005A7940">
              <w:rPr>
                <w:rFonts w:eastAsiaTheme="majorEastAsia" w:cstheme="majorBidi"/>
                <w:bCs/>
                <w:color w:val="4F81BD" w:themeColor="accent1"/>
                <w:sz w:val="24"/>
                <w:szCs w:val="26"/>
              </w:rPr>
              <w:t xml:space="preserve">imension </w:t>
            </w:r>
            <w:r w:rsidR="005A7940">
              <w:rPr>
                <w:rFonts w:eastAsiaTheme="majorEastAsia" w:cstheme="majorBidi"/>
                <w:bCs/>
                <w:color w:val="4F81BD" w:themeColor="accent1"/>
                <w:sz w:val="24"/>
                <w:szCs w:val="26"/>
              </w:rPr>
              <w:t>« </w:t>
            </w:r>
            <w:r w:rsidRPr="005A7940">
              <w:rPr>
                <w:rFonts w:eastAsiaTheme="majorEastAsia" w:cstheme="majorBidi"/>
                <w:bCs/>
                <w:color w:val="4F81BD" w:themeColor="accent1"/>
                <w:sz w:val="24"/>
                <w:szCs w:val="26"/>
              </w:rPr>
              <w:t>communautaire</w:t>
            </w:r>
            <w:r w:rsidR="005A7940">
              <w:rPr>
                <w:rFonts w:eastAsiaTheme="majorEastAsia" w:cstheme="majorBidi"/>
                <w:bCs/>
                <w:color w:val="4F81BD" w:themeColor="accent1"/>
                <w:sz w:val="24"/>
                <w:szCs w:val="26"/>
              </w:rPr>
              <w:t> »</w:t>
            </w:r>
            <w:r w:rsidRPr="005A7940">
              <w:rPr>
                <w:rFonts w:eastAsiaTheme="majorEastAsia" w:cstheme="majorBidi"/>
                <w:bCs/>
                <w:color w:val="4F81BD" w:themeColor="accent1"/>
                <w:sz w:val="24"/>
                <w:szCs w:val="26"/>
              </w:rPr>
              <w:t xml:space="preserve"> - </w:t>
            </w:r>
            <w:r w:rsidR="005A7940">
              <w:rPr>
                <w:rFonts w:eastAsiaTheme="majorEastAsia" w:cstheme="majorBidi"/>
                <w:bCs/>
                <w:color w:val="4F81BD" w:themeColor="accent1"/>
                <w:sz w:val="24"/>
                <w:szCs w:val="26"/>
              </w:rPr>
              <w:t>D</w:t>
            </w:r>
            <w:r w:rsidRPr="005A7940">
              <w:rPr>
                <w:rFonts w:eastAsiaTheme="majorEastAsia" w:cstheme="majorBidi"/>
                <w:bCs/>
                <w:color w:val="4F81BD" w:themeColor="accent1"/>
                <w:sz w:val="24"/>
                <w:szCs w:val="26"/>
              </w:rPr>
              <w:t>iscerner</w:t>
            </w:r>
          </w:p>
        </w:tc>
      </w:tr>
    </w:tbl>
    <w:p w:rsidR="00934275" w:rsidRDefault="00934275" w:rsidP="00934275">
      <w:pPr>
        <w:jc w:val="center"/>
        <w:rPr>
          <w:b/>
          <w:color w:val="1F497D" w:themeColor="text2"/>
          <w:sz w:val="36"/>
          <w:szCs w:val="36"/>
        </w:rPr>
      </w:pPr>
    </w:p>
    <w:p w:rsidR="00934275" w:rsidRPr="005A7940" w:rsidRDefault="00934275" w:rsidP="00934275">
      <w:pPr>
        <w:jc w:val="center"/>
        <w:rPr>
          <w:rFonts w:eastAsiaTheme="majorEastAsia" w:cstheme="minorHAnsi"/>
          <w:b/>
          <w:bCs/>
          <w:color w:val="365F91" w:themeColor="accent1" w:themeShade="BF"/>
          <w:sz w:val="32"/>
          <w:szCs w:val="32"/>
        </w:rPr>
      </w:pPr>
      <w:r w:rsidRPr="005A7940">
        <w:rPr>
          <w:rFonts w:eastAsiaTheme="majorEastAsia" w:cstheme="minorHAnsi"/>
          <w:b/>
          <w:bCs/>
          <w:color w:val="365F91" w:themeColor="accent1" w:themeShade="BF"/>
          <w:sz w:val="32"/>
          <w:szCs w:val="32"/>
        </w:rPr>
        <w:t xml:space="preserve">Faire l’expérience d’un discernement personnel </w:t>
      </w:r>
      <w:r w:rsidR="00481226">
        <w:rPr>
          <w:rFonts w:eastAsiaTheme="majorEastAsia" w:cstheme="minorHAnsi"/>
          <w:b/>
          <w:bCs/>
          <w:color w:val="365F91" w:themeColor="accent1" w:themeShade="BF"/>
          <w:sz w:val="32"/>
          <w:szCs w:val="32"/>
        </w:rPr>
        <w:t xml:space="preserve">                                           pour un service dans le monde</w:t>
      </w:r>
    </w:p>
    <w:p w:rsidR="00934275" w:rsidRDefault="00934275" w:rsidP="00934275">
      <w:pPr>
        <w:jc w:val="center"/>
        <w:rPr>
          <w:b/>
          <w:color w:val="1F497D" w:themeColor="text2"/>
          <w:sz w:val="36"/>
          <w:szCs w:val="36"/>
        </w:rPr>
      </w:pPr>
    </w:p>
    <w:p w:rsidR="00934275" w:rsidRPr="00481226" w:rsidRDefault="00934275" w:rsidP="00481226">
      <w:pPr>
        <w:jc w:val="both"/>
        <w:rPr>
          <w:i/>
          <w:szCs w:val="28"/>
        </w:rPr>
      </w:pPr>
      <w:r w:rsidRPr="00481226">
        <w:rPr>
          <w:b/>
        </w:rPr>
        <w:t xml:space="preserve">Visée : </w:t>
      </w:r>
      <w:r w:rsidRPr="00481226">
        <w:t>Percevoir la grâce spécifique du compagnonnage pour vivre en serviteur</w:t>
      </w:r>
      <w:r w:rsidRPr="00481226">
        <w:rPr>
          <w:i/>
          <w:szCs w:val="28"/>
        </w:rPr>
        <w:t xml:space="preserve"> </w:t>
      </w:r>
    </w:p>
    <w:p w:rsidR="00934275" w:rsidRPr="00481226" w:rsidRDefault="00934275" w:rsidP="00481226">
      <w:pPr>
        <w:jc w:val="both"/>
        <w:rPr>
          <w:i/>
          <w:szCs w:val="28"/>
        </w:rPr>
      </w:pPr>
    </w:p>
    <w:p w:rsidR="0032088E" w:rsidRPr="00AB43C4" w:rsidRDefault="0032088E" w:rsidP="0032088E">
      <w:pPr>
        <w:spacing w:line="300" w:lineRule="exact"/>
        <w:jc w:val="both"/>
        <w:rPr>
          <w:rFonts w:cstheme="minorHAnsi"/>
        </w:rPr>
      </w:pPr>
      <w:r w:rsidRPr="00AB43C4">
        <w:rPr>
          <w:rFonts w:cstheme="minorHAnsi"/>
        </w:rPr>
        <w:t xml:space="preserve">Une personne souhaite soumettre à la Communauté une aide au discernement. </w:t>
      </w:r>
    </w:p>
    <w:p w:rsidR="0032088E" w:rsidRPr="00AB43C4" w:rsidRDefault="0032088E" w:rsidP="0032088E">
      <w:pPr>
        <w:spacing w:line="300" w:lineRule="exact"/>
        <w:jc w:val="both"/>
        <w:rPr>
          <w:rFonts w:cstheme="minorHAnsi"/>
        </w:rPr>
      </w:pPr>
      <w:r w:rsidRPr="00AB43C4">
        <w:rPr>
          <w:rFonts w:cstheme="minorHAnsi"/>
        </w:rPr>
        <w:t>Ce n'est pas un choix communautaire car ce choix est personnel. La personne fera son choix, seule, mais sera éclairée par l'apport de ses compagnons.</w:t>
      </w:r>
    </w:p>
    <w:p w:rsidR="0032088E" w:rsidRPr="00AB43C4" w:rsidRDefault="0032088E" w:rsidP="0032088E">
      <w:pPr>
        <w:spacing w:line="300" w:lineRule="exact"/>
        <w:jc w:val="both"/>
        <w:rPr>
          <w:rFonts w:cstheme="minorHAnsi"/>
        </w:rPr>
      </w:pPr>
    </w:p>
    <w:p w:rsidR="0032088E" w:rsidRPr="009E51ED" w:rsidRDefault="0032088E" w:rsidP="0032088E">
      <w:pPr>
        <w:spacing w:after="120" w:line="300" w:lineRule="exact"/>
        <w:jc w:val="both"/>
        <w:rPr>
          <w:rFonts w:cstheme="minorHAnsi"/>
          <w:b/>
        </w:rPr>
      </w:pPr>
      <w:r w:rsidRPr="009E51ED">
        <w:rPr>
          <w:rFonts w:cstheme="minorHAnsi"/>
          <w:b/>
        </w:rPr>
        <w:t>1- Quelques pistes (non exhaustives) pour aider cette personne à préparer son partage :</w:t>
      </w:r>
    </w:p>
    <w:p w:rsidR="0032088E" w:rsidRPr="00AB43C4" w:rsidRDefault="0032088E" w:rsidP="00FF1098">
      <w:pPr>
        <w:widowControl w:val="0"/>
        <w:numPr>
          <w:ilvl w:val="0"/>
          <w:numId w:val="13"/>
        </w:numPr>
        <w:suppressAutoHyphens/>
        <w:spacing w:after="40" w:line="300" w:lineRule="exact"/>
        <w:ind w:left="714" w:hanging="357"/>
        <w:jc w:val="both"/>
        <w:rPr>
          <w:rFonts w:cstheme="minorHAnsi"/>
        </w:rPr>
      </w:pPr>
      <w:r w:rsidRPr="00AB43C4">
        <w:rPr>
          <w:rFonts w:cstheme="minorHAnsi"/>
        </w:rPr>
        <w:t>Déposer ce choix devant Dieu pour qu'Il puisse m’éclairer.</w:t>
      </w:r>
    </w:p>
    <w:p w:rsidR="0032088E" w:rsidRPr="00AB43C4" w:rsidRDefault="0032088E" w:rsidP="00FF1098">
      <w:pPr>
        <w:widowControl w:val="0"/>
        <w:numPr>
          <w:ilvl w:val="0"/>
          <w:numId w:val="13"/>
        </w:numPr>
        <w:suppressAutoHyphens/>
        <w:spacing w:after="40" w:line="300" w:lineRule="exact"/>
        <w:ind w:left="714" w:hanging="357"/>
        <w:jc w:val="both"/>
        <w:rPr>
          <w:rFonts w:cstheme="minorHAnsi"/>
        </w:rPr>
      </w:pPr>
      <w:r w:rsidRPr="00AB43C4">
        <w:rPr>
          <w:rFonts w:cstheme="minorHAnsi"/>
        </w:rPr>
        <w:t xml:space="preserve">Poser l'alternative du choix en termes clairs et précis. Il s'agit bien de choisir entre deux choses bonnes celle qui sera la meilleure pour moi, à ce moment-là de ma vie. </w:t>
      </w:r>
    </w:p>
    <w:p w:rsidR="0032088E" w:rsidRPr="00AB43C4" w:rsidRDefault="0032088E" w:rsidP="00FF1098">
      <w:pPr>
        <w:widowControl w:val="0"/>
        <w:numPr>
          <w:ilvl w:val="0"/>
          <w:numId w:val="13"/>
        </w:numPr>
        <w:suppressAutoHyphens/>
        <w:spacing w:after="40" w:line="300" w:lineRule="exact"/>
        <w:ind w:left="714" w:hanging="357"/>
        <w:jc w:val="both"/>
        <w:rPr>
          <w:rFonts w:cstheme="minorHAnsi"/>
        </w:rPr>
      </w:pPr>
      <w:r w:rsidRPr="00AB43C4">
        <w:rPr>
          <w:rFonts w:cstheme="minorHAnsi"/>
        </w:rPr>
        <w:t>Exposer les enjeux du choix, les raisons qui me font pencher pour une solution puis pour l'autre. De même exposer les résistances, les peurs, les freins...pour chacun des deux choix possibles. Prendre au sérieux les résistances. Elles ne sont pas forcément le signe qu'il faut renoncer à cette solution. Sont-elles surmontables  invitant à un lâcher prise, ou à plus de confiance, ou de courage, etc...</w:t>
      </w:r>
    </w:p>
    <w:p w:rsidR="0032088E" w:rsidRPr="00AB43C4" w:rsidRDefault="0032088E" w:rsidP="00FF1098">
      <w:pPr>
        <w:widowControl w:val="0"/>
        <w:numPr>
          <w:ilvl w:val="0"/>
          <w:numId w:val="13"/>
        </w:numPr>
        <w:suppressAutoHyphens/>
        <w:spacing w:after="40" w:line="300" w:lineRule="exact"/>
        <w:ind w:left="714" w:hanging="357"/>
        <w:jc w:val="both"/>
        <w:rPr>
          <w:rFonts w:cstheme="minorHAnsi"/>
        </w:rPr>
      </w:pPr>
      <w:r w:rsidRPr="00AB43C4">
        <w:rPr>
          <w:rFonts w:cstheme="minorHAnsi"/>
        </w:rPr>
        <w:t>Dire les sentiments qui m'habitent en pensant à l'une ou l'autre des alternatives.</w:t>
      </w:r>
    </w:p>
    <w:p w:rsidR="0032088E" w:rsidRPr="00AB43C4" w:rsidRDefault="0032088E" w:rsidP="00FF1098">
      <w:pPr>
        <w:widowControl w:val="0"/>
        <w:numPr>
          <w:ilvl w:val="0"/>
          <w:numId w:val="13"/>
        </w:numPr>
        <w:suppressAutoHyphens/>
        <w:spacing w:after="40" w:line="300" w:lineRule="exact"/>
        <w:ind w:left="714" w:hanging="357"/>
        <w:jc w:val="both"/>
        <w:rPr>
          <w:rFonts w:cstheme="minorHAnsi"/>
        </w:rPr>
      </w:pPr>
      <w:r w:rsidRPr="00AB43C4">
        <w:rPr>
          <w:rFonts w:cstheme="minorHAnsi"/>
        </w:rPr>
        <w:t xml:space="preserve">essayer de discerner là où je trouve plus de vie et qui conduit à du plus large ou au contraire là où il y a un sentiment d'étroitesse, de peur, de tension, etc... </w:t>
      </w:r>
    </w:p>
    <w:p w:rsidR="0032088E" w:rsidRPr="00AB43C4" w:rsidRDefault="0032088E" w:rsidP="00FF1098">
      <w:pPr>
        <w:widowControl w:val="0"/>
        <w:numPr>
          <w:ilvl w:val="0"/>
          <w:numId w:val="13"/>
        </w:numPr>
        <w:suppressAutoHyphens/>
        <w:spacing w:after="40" w:line="300" w:lineRule="exact"/>
        <w:ind w:left="714" w:hanging="357"/>
        <w:jc w:val="both"/>
        <w:rPr>
          <w:rFonts w:cstheme="minorHAnsi"/>
        </w:rPr>
      </w:pPr>
      <w:r w:rsidRPr="00AB43C4">
        <w:rPr>
          <w:rFonts w:cstheme="minorHAnsi"/>
        </w:rPr>
        <w:t>Regarder s'il y a une alternative qui rejoint plus le fil conducteur de ma vie. </w:t>
      </w:r>
    </w:p>
    <w:p w:rsidR="0032088E" w:rsidRPr="00AB43C4" w:rsidRDefault="0032088E" w:rsidP="0032088E">
      <w:pPr>
        <w:widowControl w:val="0"/>
        <w:numPr>
          <w:ilvl w:val="0"/>
          <w:numId w:val="13"/>
        </w:numPr>
        <w:suppressAutoHyphens/>
        <w:spacing w:line="300" w:lineRule="exact"/>
        <w:jc w:val="both"/>
        <w:rPr>
          <w:rFonts w:cstheme="minorHAnsi"/>
        </w:rPr>
      </w:pPr>
      <w:r w:rsidRPr="00AB43C4">
        <w:rPr>
          <w:rFonts w:cstheme="minorHAnsi"/>
        </w:rPr>
        <w:t xml:space="preserve">Y </w:t>
      </w:r>
      <w:proofErr w:type="spellStart"/>
      <w:r w:rsidRPr="00AB43C4">
        <w:rPr>
          <w:rFonts w:cstheme="minorHAnsi"/>
        </w:rPr>
        <w:t>a-t-il</w:t>
      </w:r>
      <w:proofErr w:type="spellEnd"/>
      <w:r w:rsidRPr="00AB43C4">
        <w:rPr>
          <w:rFonts w:cstheme="minorHAnsi"/>
        </w:rPr>
        <w:t xml:space="preserve"> des situations ou des paroles de Jésus qui s'accordent avec ce que j'essaye de discerner? Comment cela me parle-t-il ? </w:t>
      </w:r>
    </w:p>
    <w:p w:rsidR="0032088E" w:rsidRPr="00AB43C4" w:rsidRDefault="0032088E" w:rsidP="0032088E">
      <w:pPr>
        <w:spacing w:line="300" w:lineRule="exact"/>
        <w:jc w:val="both"/>
        <w:rPr>
          <w:rFonts w:cstheme="minorHAnsi"/>
        </w:rPr>
      </w:pPr>
    </w:p>
    <w:p w:rsidR="0032088E" w:rsidRDefault="0032088E" w:rsidP="0032088E">
      <w:pPr>
        <w:spacing w:after="120" w:line="300" w:lineRule="exact"/>
        <w:jc w:val="both"/>
        <w:rPr>
          <w:rFonts w:cstheme="minorHAnsi"/>
          <w:b/>
        </w:rPr>
      </w:pPr>
      <w:r w:rsidRPr="009E51ED">
        <w:rPr>
          <w:rFonts w:cstheme="minorHAnsi"/>
          <w:b/>
        </w:rPr>
        <w:t>2- La réunion</w:t>
      </w:r>
    </w:p>
    <w:p w:rsidR="0032088E" w:rsidRPr="00AB43C4" w:rsidRDefault="0032088E" w:rsidP="00FF1098">
      <w:pPr>
        <w:widowControl w:val="0"/>
        <w:numPr>
          <w:ilvl w:val="0"/>
          <w:numId w:val="14"/>
        </w:numPr>
        <w:suppressAutoHyphens/>
        <w:spacing w:after="40" w:line="300" w:lineRule="exact"/>
        <w:ind w:left="714" w:hanging="357"/>
        <w:jc w:val="both"/>
        <w:rPr>
          <w:rFonts w:cstheme="minorHAnsi"/>
        </w:rPr>
      </w:pPr>
      <w:r w:rsidRPr="00AB43C4">
        <w:rPr>
          <w:rFonts w:cstheme="minorHAnsi"/>
        </w:rPr>
        <w:t>Temps de prière autour d'un texte biblique (par exemple, les Béatitudes ou l'abandon à la providence ou Jésus qui se retire pour prier avant de choisir ses disciples ou etc...). On prendra aussi le temps d’invoquer l'Esprit Saint pour ce temps de réunion</w:t>
      </w:r>
      <w:r w:rsidR="00FF1098">
        <w:rPr>
          <w:rFonts w:cstheme="minorHAnsi"/>
        </w:rPr>
        <w:t>.</w:t>
      </w:r>
      <w:r w:rsidRPr="00AB43C4">
        <w:rPr>
          <w:rFonts w:cstheme="minorHAnsi"/>
        </w:rPr>
        <w:t xml:space="preserve"> On peut aussi demander la grâce de l'indifférence pour accueillir ce que va présenter la personne sans à priori de départ.</w:t>
      </w:r>
    </w:p>
    <w:p w:rsidR="0032088E" w:rsidRPr="00AB43C4" w:rsidRDefault="0032088E" w:rsidP="00FF1098">
      <w:pPr>
        <w:widowControl w:val="0"/>
        <w:numPr>
          <w:ilvl w:val="0"/>
          <w:numId w:val="14"/>
        </w:numPr>
        <w:suppressAutoHyphens/>
        <w:spacing w:after="40" w:line="300" w:lineRule="exact"/>
        <w:ind w:left="714" w:hanging="357"/>
        <w:jc w:val="both"/>
        <w:rPr>
          <w:rFonts w:cstheme="minorHAnsi"/>
        </w:rPr>
      </w:pPr>
      <w:r w:rsidRPr="00AB43C4">
        <w:rPr>
          <w:rFonts w:cstheme="minorHAnsi"/>
        </w:rPr>
        <w:t>La personne qui demande de l'aide pour un discernement expose sa préparation.</w:t>
      </w:r>
    </w:p>
    <w:p w:rsidR="0032088E" w:rsidRPr="00AB43C4" w:rsidRDefault="0032088E" w:rsidP="0032088E">
      <w:pPr>
        <w:widowControl w:val="0"/>
        <w:numPr>
          <w:ilvl w:val="0"/>
          <w:numId w:val="14"/>
        </w:numPr>
        <w:suppressAutoHyphens/>
        <w:spacing w:line="300" w:lineRule="exact"/>
        <w:jc w:val="both"/>
        <w:rPr>
          <w:rFonts w:cstheme="minorHAnsi"/>
        </w:rPr>
      </w:pPr>
      <w:r w:rsidRPr="00AB43C4">
        <w:rPr>
          <w:rFonts w:cstheme="minorHAnsi"/>
        </w:rPr>
        <w:t>Temps de silence : chacun reprend ses notes et prépare le tour de l'interpellation</w:t>
      </w:r>
      <w:r w:rsidR="00FF1098">
        <w:rPr>
          <w:rFonts w:cstheme="minorHAnsi"/>
        </w:rPr>
        <w:t>. I</w:t>
      </w:r>
      <w:bookmarkStart w:id="0" w:name="_GoBack"/>
      <w:bookmarkEnd w:id="0"/>
      <w:r w:rsidRPr="00AB43C4">
        <w:rPr>
          <w:rFonts w:cstheme="minorHAnsi"/>
        </w:rPr>
        <w:t>l ne s'agit pas de donner un conseil ou ce que je choisirais à la place de l'autre mais seulement d'apporter des éléments (questions, échos en moi, etc...) qui aideront mon compagnon à poser un choix plus libre. Je peux</w:t>
      </w:r>
      <w:r>
        <w:rPr>
          <w:rFonts w:cstheme="minorHAnsi"/>
        </w:rPr>
        <w:t> :</w:t>
      </w:r>
    </w:p>
    <w:p w:rsidR="0032088E" w:rsidRPr="00AB43C4" w:rsidRDefault="0032088E" w:rsidP="0032088E">
      <w:pPr>
        <w:widowControl w:val="0"/>
        <w:numPr>
          <w:ilvl w:val="2"/>
          <w:numId w:val="11"/>
        </w:numPr>
        <w:suppressAutoHyphens/>
        <w:spacing w:line="300" w:lineRule="exact"/>
        <w:jc w:val="both"/>
        <w:rPr>
          <w:rFonts w:cstheme="minorHAnsi"/>
        </w:rPr>
      </w:pPr>
      <w:r w:rsidRPr="00AB43C4">
        <w:rPr>
          <w:rFonts w:cstheme="minorHAnsi"/>
        </w:rPr>
        <w:t>demander un éclaircissement.</w:t>
      </w:r>
    </w:p>
    <w:p w:rsidR="0032088E" w:rsidRPr="00AB43C4" w:rsidRDefault="0032088E" w:rsidP="0032088E">
      <w:pPr>
        <w:widowControl w:val="0"/>
        <w:numPr>
          <w:ilvl w:val="2"/>
          <w:numId w:val="11"/>
        </w:numPr>
        <w:suppressAutoHyphens/>
        <w:spacing w:line="300" w:lineRule="exact"/>
        <w:jc w:val="both"/>
        <w:rPr>
          <w:rFonts w:cstheme="minorHAnsi"/>
        </w:rPr>
      </w:pPr>
      <w:r w:rsidRPr="00AB43C4">
        <w:rPr>
          <w:rFonts w:cstheme="minorHAnsi"/>
        </w:rPr>
        <w:t>dire, avec mes mots, ce que j'ai entendu (reformulation).</w:t>
      </w:r>
    </w:p>
    <w:p w:rsidR="0032088E" w:rsidRPr="00AB43C4" w:rsidRDefault="0032088E" w:rsidP="0032088E">
      <w:pPr>
        <w:widowControl w:val="0"/>
        <w:numPr>
          <w:ilvl w:val="2"/>
          <w:numId w:val="11"/>
        </w:numPr>
        <w:suppressAutoHyphens/>
        <w:spacing w:line="300" w:lineRule="exact"/>
        <w:jc w:val="both"/>
        <w:rPr>
          <w:rFonts w:cstheme="minorHAnsi"/>
        </w:rPr>
      </w:pPr>
      <w:r w:rsidRPr="00AB43C4">
        <w:rPr>
          <w:rFonts w:cstheme="minorHAnsi"/>
        </w:rPr>
        <w:t xml:space="preserve">dire le ou les enjeux que je perçois (ils peuvent être différents de ceux exposés par la </w:t>
      </w:r>
      <w:r w:rsidRPr="00AB43C4">
        <w:rPr>
          <w:rFonts w:cstheme="minorHAnsi"/>
        </w:rPr>
        <w:lastRenderedPageBreak/>
        <w:t>personne).</w:t>
      </w:r>
    </w:p>
    <w:p w:rsidR="0032088E" w:rsidRPr="00AB43C4" w:rsidRDefault="0032088E" w:rsidP="0032088E">
      <w:pPr>
        <w:widowControl w:val="0"/>
        <w:numPr>
          <w:ilvl w:val="2"/>
          <w:numId w:val="11"/>
        </w:numPr>
        <w:suppressAutoHyphens/>
        <w:spacing w:line="300" w:lineRule="exact"/>
        <w:jc w:val="both"/>
        <w:rPr>
          <w:rFonts w:cstheme="minorHAnsi"/>
        </w:rPr>
      </w:pPr>
      <w:r w:rsidRPr="00AB43C4">
        <w:rPr>
          <w:rFonts w:cstheme="minorHAnsi"/>
        </w:rPr>
        <w:t>dire ce qui me semble aller dans le sens de ce que je connais de la personne.</w:t>
      </w:r>
    </w:p>
    <w:p w:rsidR="0032088E" w:rsidRPr="00AB43C4" w:rsidRDefault="0032088E" w:rsidP="0032088E">
      <w:pPr>
        <w:widowControl w:val="0"/>
        <w:numPr>
          <w:ilvl w:val="2"/>
          <w:numId w:val="11"/>
        </w:numPr>
        <w:suppressAutoHyphens/>
        <w:spacing w:line="300" w:lineRule="exact"/>
        <w:jc w:val="both"/>
        <w:rPr>
          <w:rFonts w:cstheme="minorHAnsi"/>
        </w:rPr>
      </w:pPr>
      <w:r w:rsidRPr="00AB43C4">
        <w:rPr>
          <w:rFonts w:cstheme="minorHAnsi"/>
        </w:rPr>
        <w:t>dire les éventuels combats que je perçois.</w:t>
      </w:r>
    </w:p>
    <w:p w:rsidR="0032088E" w:rsidRPr="00AB43C4" w:rsidRDefault="0032088E" w:rsidP="0032088E">
      <w:pPr>
        <w:widowControl w:val="0"/>
        <w:numPr>
          <w:ilvl w:val="2"/>
          <w:numId w:val="11"/>
        </w:numPr>
        <w:suppressAutoHyphens/>
        <w:spacing w:line="300" w:lineRule="exact"/>
        <w:jc w:val="both"/>
        <w:rPr>
          <w:rFonts w:cstheme="minorHAnsi"/>
        </w:rPr>
      </w:pPr>
      <w:r w:rsidRPr="00AB43C4">
        <w:rPr>
          <w:rFonts w:cstheme="minorHAnsi"/>
        </w:rPr>
        <w:t>poser une question qui aidera la personne à trouver plus de liberté pour choisir.</w:t>
      </w:r>
    </w:p>
    <w:p w:rsidR="0032088E" w:rsidRPr="00AB43C4" w:rsidRDefault="0032088E" w:rsidP="00FF1098">
      <w:pPr>
        <w:widowControl w:val="0"/>
        <w:numPr>
          <w:ilvl w:val="2"/>
          <w:numId w:val="11"/>
        </w:numPr>
        <w:suppressAutoHyphens/>
        <w:spacing w:after="40" w:line="300" w:lineRule="exact"/>
        <w:jc w:val="both"/>
        <w:rPr>
          <w:rFonts w:cstheme="minorHAnsi"/>
        </w:rPr>
      </w:pPr>
      <w:r w:rsidRPr="00AB43C4">
        <w:rPr>
          <w:rFonts w:cstheme="minorHAnsi"/>
        </w:rPr>
        <w:t xml:space="preserve"> </w:t>
      </w:r>
      <w:proofErr w:type="spellStart"/>
      <w:r w:rsidRPr="00AB43C4">
        <w:rPr>
          <w:rFonts w:cstheme="minorHAnsi"/>
        </w:rPr>
        <w:t>etc</w:t>
      </w:r>
      <w:proofErr w:type="spellEnd"/>
      <w:r w:rsidRPr="00AB43C4">
        <w:rPr>
          <w:rFonts w:cstheme="minorHAnsi"/>
        </w:rPr>
        <w:t>, ….</w:t>
      </w:r>
    </w:p>
    <w:p w:rsidR="0032088E" w:rsidRPr="00AB43C4" w:rsidRDefault="0032088E" w:rsidP="00FF1098">
      <w:pPr>
        <w:widowControl w:val="0"/>
        <w:numPr>
          <w:ilvl w:val="0"/>
          <w:numId w:val="11"/>
        </w:numPr>
        <w:suppressAutoHyphens/>
        <w:spacing w:after="40" w:line="300" w:lineRule="exact"/>
        <w:ind w:left="714" w:hanging="357"/>
        <w:jc w:val="both"/>
        <w:rPr>
          <w:rFonts w:cstheme="minorHAnsi"/>
        </w:rPr>
      </w:pPr>
      <w:r w:rsidRPr="00AB43C4">
        <w:rPr>
          <w:rFonts w:cstheme="minorHAnsi"/>
        </w:rPr>
        <w:t>La personne n'est pas obligée de répondre à toutes les questions posées. D'une part, elles ne sont pas toutes pertinentes, d'autre part, elle peut les emmener avec elle et tenter d'y répondre par la suite. Ce sont des questions pour elle et non pour le groupe.</w:t>
      </w:r>
    </w:p>
    <w:p w:rsidR="0032088E" w:rsidRPr="00AB43C4" w:rsidRDefault="0032088E" w:rsidP="0032088E">
      <w:pPr>
        <w:widowControl w:val="0"/>
        <w:numPr>
          <w:ilvl w:val="0"/>
          <w:numId w:val="11"/>
        </w:numPr>
        <w:suppressAutoHyphens/>
        <w:spacing w:line="300" w:lineRule="exact"/>
        <w:jc w:val="both"/>
        <w:rPr>
          <w:rFonts w:cstheme="minorHAnsi"/>
        </w:rPr>
      </w:pPr>
      <w:r w:rsidRPr="00AB43C4">
        <w:rPr>
          <w:rFonts w:cstheme="minorHAnsi"/>
        </w:rPr>
        <w:t>Temps de l’évaluation : comment ai-je vécu ce temps ? Ai-je été à l'écoute ou au contraire centré sur moi et sur ma manière de considérer ce choix?</w:t>
      </w:r>
    </w:p>
    <w:p w:rsidR="0032088E" w:rsidRPr="00AB43C4" w:rsidRDefault="0032088E" w:rsidP="0032088E">
      <w:pPr>
        <w:spacing w:line="300" w:lineRule="exact"/>
        <w:jc w:val="both"/>
        <w:rPr>
          <w:rFonts w:cstheme="minorHAnsi"/>
        </w:rPr>
      </w:pPr>
    </w:p>
    <w:p w:rsidR="0032088E" w:rsidRPr="00FF1098" w:rsidRDefault="00FF1098" w:rsidP="00FF1098">
      <w:pPr>
        <w:spacing w:after="80" w:line="300" w:lineRule="exact"/>
        <w:jc w:val="both"/>
        <w:rPr>
          <w:rFonts w:cstheme="minorHAnsi"/>
          <w:b/>
        </w:rPr>
      </w:pPr>
      <w:r>
        <w:rPr>
          <w:rFonts w:cstheme="minorHAnsi"/>
          <w:b/>
        </w:rPr>
        <w:t>Autre</w:t>
      </w:r>
      <w:r w:rsidR="0032088E" w:rsidRPr="00FF1098">
        <w:rPr>
          <w:rFonts w:cstheme="minorHAnsi"/>
          <w:b/>
        </w:rPr>
        <w:t xml:space="preserve"> ressource : </w:t>
      </w:r>
    </w:p>
    <w:p w:rsidR="0032088E" w:rsidRPr="009E51ED" w:rsidRDefault="00FF1098" w:rsidP="0032088E">
      <w:pPr>
        <w:pStyle w:val="Paragraphedeliste"/>
        <w:numPr>
          <w:ilvl w:val="0"/>
          <w:numId w:val="12"/>
        </w:numPr>
        <w:spacing w:line="300" w:lineRule="exact"/>
        <w:rPr>
          <w:rFonts w:cstheme="minorHAnsi"/>
        </w:rPr>
      </w:pPr>
      <w:r>
        <w:rPr>
          <w:rFonts w:asciiTheme="minorHAnsi" w:hAnsiTheme="minorHAnsi" w:cstheme="minorHAnsi"/>
          <w:b/>
          <w:sz w:val="22"/>
          <w:szCs w:val="22"/>
        </w:rPr>
        <w:t xml:space="preserve">Fiche </w:t>
      </w:r>
      <w:r w:rsidR="0032088E" w:rsidRPr="009E51ED">
        <w:rPr>
          <w:rFonts w:asciiTheme="minorHAnsi" w:hAnsiTheme="minorHAnsi" w:cstheme="minorHAnsi"/>
          <w:b/>
          <w:sz w:val="22"/>
          <w:szCs w:val="22"/>
        </w:rPr>
        <w:t xml:space="preserve">Aide </w:t>
      </w:r>
      <w:r w:rsidR="00F81402">
        <w:rPr>
          <w:rFonts w:asciiTheme="minorHAnsi" w:hAnsiTheme="minorHAnsi" w:cstheme="minorHAnsi"/>
          <w:b/>
          <w:sz w:val="22"/>
          <w:szCs w:val="22"/>
        </w:rPr>
        <w:t>au discernement</w:t>
      </w:r>
      <w:r w:rsidR="0032088E" w:rsidRPr="009E51ED">
        <w:rPr>
          <w:rFonts w:asciiTheme="minorHAnsi" w:hAnsiTheme="minorHAnsi" w:cstheme="minorHAnsi"/>
          <w:b/>
          <w:sz w:val="22"/>
          <w:szCs w:val="22"/>
        </w:rPr>
        <w:t xml:space="preserve"> personnel</w:t>
      </w:r>
      <w:r w:rsidR="00F81402">
        <w:rPr>
          <w:rFonts w:asciiTheme="minorHAnsi" w:hAnsiTheme="minorHAnsi" w:cstheme="minorHAnsi"/>
          <w:b/>
          <w:sz w:val="22"/>
          <w:szCs w:val="22"/>
        </w:rPr>
        <w:t xml:space="preserve"> en communauté locale</w:t>
      </w:r>
      <w:r w:rsidR="0032088E" w:rsidRPr="009E51ED">
        <w:rPr>
          <w:rFonts w:asciiTheme="minorHAnsi" w:hAnsiTheme="minorHAnsi" w:cstheme="minorHAnsi"/>
          <w:sz w:val="22"/>
          <w:szCs w:val="22"/>
        </w:rPr>
        <w:t xml:space="preserve"> : </w:t>
      </w:r>
      <w:hyperlink r:id="rId6" w:history="1">
        <w:r w:rsidR="0032088E" w:rsidRPr="00C65F7B">
          <w:rPr>
            <w:rStyle w:val="Lienhypertexte"/>
            <w:rFonts w:asciiTheme="minorHAnsi" w:hAnsiTheme="minorHAnsi" w:cstheme="minorHAnsi"/>
            <w:sz w:val="22"/>
            <w:szCs w:val="22"/>
          </w:rPr>
          <w:t>http://www.cvxfrance.com/wp-content/uploads/2015/04/aide-de-la-Communaut%C3%A9-locale-%C3%A0-une-d%C3%A9cision-personnelle.pdf</w:t>
        </w:r>
      </w:hyperlink>
    </w:p>
    <w:p w:rsidR="00BA759E" w:rsidRDefault="00BA759E" w:rsidP="00BA759E">
      <w:pPr>
        <w:pStyle w:val="Sansinterligne"/>
      </w:pPr>
    </w:p>
    <w:p w:rsidR="00FF1098" w:rsidRDefault="00FF1098" w:rsidP="00BA759E">
      <w:pPr>
        <w:pStyle w:val="Sansinterligne"/>
      </w:pPr>
    </w:p>
    <w:p w:rsidR="00FF1098" w:rsidRDefault="00FF1098" w:rsidP="00BA759E">
      <w:pPr>
        <w:pStyle w:val="Sansinterligne"/>
      </w:pPr>
    </w:p>
    <w:p w:rsidR="00BA759E" w:rsidRPr="00BA759E" w:rsidRDefault="00BA759E" w:rsidP="00BA759E">
      <w:pPr>
        <w:pStyle w:val="Sansinterligne"/>
      </w:pPr>
      <w:r w:rsidRPr="00BA759E">
        <w:t xml:space="preserve">Date : </w:t>
      </w:r>
      <w:r w:rsidR="00481226">
        <w:t>Décembre 2016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5F8E2CA0"/>
    <w:name w:val="WW8Num3"/>
    <w:lvl w:ilvl="0">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741D4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04019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331A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960D9B"/>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C813A79"/>
    <w:multiLevelType w:val="hybridMultilevel"/>
    <w:tmpl w:val="036EF8A0"/>
    <w:lvl w:ilvl="0" w:tplc="040C0001">
      <w:start w:val="1"/>
      <w:numFmt w:val="bullet"/>
      <w:lvlText w:val=""/>
      <w:lvlJc w:val="left"/>
      <w:pPr>
        <w:tabs>
          <w:tab w:val="num" w:pos="720"/>
        </w:tabs>
        <w:ind w:left="720" w:hanging="360"/>
      </w:pPr>
      <w:rPr>
        <w:rFonts w:ascii="Symbol" w:hAnsi="Symbol" w:hint="default"/>
      </w:rPr>
    </w:lvl>
    <w:lvl w:ilvl="1" w:tplc="D0363956">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0315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66104A5"/>
    <w:multiLevelType w:val="multilevel"/>
    <w:tmpl w:val="AFF2757C"/>
    <w:lvl w:ilvl="0">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439153E4"/>
    <w:multiLevelType w:val="hybridMultilevel"/>
    <w:tmpl w:val="141CD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FA15B3"/>
    <w:multiLevelType w:val="hybridMultilevel"/>
    <w:tmpl w:val="2F3800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580C"/>
    <w:multiLevelType w:val="hybridMultilevel"/>
    <w:tmpl w:val="3146C92E"/>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5D3CBD"/>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4"/>
  </w:num>
  <w:num w:numId="5">
    <w:abstractNumId w:val="13"/>
  </w:num>
  <w:num w:numId="6">
    <w:abstractNumId w:val="6"/>
  </w:num>
  <w:num w:numId="7">
    <w:abstractNumId w:val="3"/>
  </w:num>
  <w:num w:numId="8">
    <w:abstractNumId w:val="8"/>
  </w:num>
  <w:num w:numId="9">
    <w:abstractNumId w:val="11"/>
  </w:num>
  <w:num w:numId="10">
    <w:abstractNumId w:val="7"/>
  </w:num>
  <w:num w:numId="11">
    <w:abstractNumId w:val="2"/>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75"/>
    <w:rsid w:val="0032088E"/>
    <w:rsid w:val="00326677"/>
    <w:rsid w:val="003D09E7"/>
    <w:rsid w:val="003E28D1"/>
    <w:rsid w:val="00481226"/>
    <w:rsid w:val="004D5515"/>
    <w:rsid w:val="00596946"/>
    <w:rsid w:val="005A7940"/>
    <w:rsid w:val="0076770F"/>
    <w:rsid w:val="00934275"/>
    <w:rsid w:val="00A42704"/>
    <w:rsid w:val="00A76A9F"/>
    <w:rsid w:val="00BA759E"/>
    <w:rsid w:val="00BD7E3E"/>
    <w:rsid w:val="00C84C31"/>
    <w:rsid w:val="00E02C23"/>
    <w:rsid w:val="00F81402"/>
    <w:rsid w:val="00FF1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E896E-1752-416C-AF98-CC10526A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32088E"/>
    <w:pPr>
      <w:widowControl w:val="0"/>
      <w:suppressAutoHyphens/>
      <w:ind w:left="720"/>
      <w:contextualSpacing/>
    </w:pPr>
    <w:rPr>
      <w:rFonts w:ascii="Times New Roman" w:eastAsia="SimSun" w:hAnsi="Times New Roman" w:cs="Mangal"/>
      <w:kern w:val="1"/>
      <w:sz w:val="24"/>
      <w:szCs w:val="21"/>
      <w:lang w:eastAsia="hi-IN" w:bidi="hi-IN"/>
    </w:rPr>
  </w:style>
  <w:style w:type="character" w:styleId="Lienhypertexte">
    <w:name w:val="Hyperlink"/>
    <w:basedOn w:val="Policepardfaut"/>
    <w:uiPriority w:val="99"/>
    <w:unhideWhenUsed/>
    <w:rsid w:val="00320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xfrance.com/wp-content/uploads/2015/04/aide-de-la-Communaut%C3%A9-locale-%C3%A0-une-d%C3%A9cision-personnelle.pdf"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21</TotalTime>
  <Pages>2</Pages>
  <Words>558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4</cp:revision>
  <dcterms:created xsi:type="dcterms:W3CDTF">2014-08-31T07:50:00Z</dcterms:created>
  <dcterms:modified xsi:type="dcterms:W3CDTF">2017-01-09T09:23:00Z</dcterms:modified>
</cp:coreProperties>
</file>