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119"/>
      </w:tblGrid>
      <w:tr w:rsidR="00BD7E3E" w:rsidRPr="00A11F0A" w:rsidTr="00810EFC">
        <w:tc>
          <w:tcPr>
            <w:tcW w:w="1809" w:type="dxa"/>
            <w:vAlign w:val="bottom"/>
          </w:tcPr>
          <w:p w:rsidR="00BD7E3E" w:rsidRPr="00A11F0A" w:rsidRDefault="00596946" w:rsidP="00BD7E3E">
            <w:pPr>
              <w:rPr>
                <w:rFonts w:cstheme="minorHAnsi"/>
                <w:noProof/>
              </w:rPr>
            </w:pPr>
            <w:r w:rsidRPr="00A11F0A">
              <w:rPr>
                <w:rFonts w:cstheme="minorHAnsi"/>
                <w:noProof/>
                <w:lang w:eastAsia="fr-FR"/>
              </w:rPr>
              <w:drawing>
                <wp:inline distT="0" distB="0" distL="0" distR="0" wp14:anchorId="5728A00E" wp14:editId="4C910B95">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A11F0A" w:rsidRDefault="00A11F0A" w:rsidP="00A11F0A">
            <w:pPr>
              <w:rPr>
                <w:rFonts w:cstheme="minorHAnsi"/>
                <w:color w:val="1F497D" w:themeColor="text2"/>
              </w:rPr>
            </w:pPr>
            <w:r w:rsidRPr="00810EFC">
              <w:rPr>
                <w:rFonts w:eastAsiaTheme="majorEastAsia" w:cstheme="majorBidi"/>
                <w:bCs/>
                <w:color w:val="4F81BD" w:themeColor="accent1"/>
                <w:sz w:val="24"/>
                <w:szCs w:val="26"/>
              </w:rPr>
              <w:t xml:space="preserve">Axe serviteur - Dimension « dans </w:t>
            </w:r>
            <w:r w:rsidR="00810EFC">
              <w:rPr>
                <w:rFonts w:eastAsiaTheme="majorEastAsia" w:cstheme="majorBidi"/>
                <w:bCs/>
                <w:color w:val="4F81BD" w:themeColor="accent1"/>
                <w:sz w:val="24"/>
                <w:szCs w:val="26"/>
              </w:rPr>
              <w:t>et pour le monde » - Contempler</w:t>
            </w:r>
            <w:r w:rsidRPr="00A11F0A">
              <w:rPr>
                <w:rFonts w:cstheme="minorHAnsi"/>
                <w:color w:val="1F497D" w:themeColor="text2"/>
              </w:rPr>
              <w:t> </w:t>
            </w:r>
          </w:p>
        </w:tc>
      </w:tr>
    </w:tbl>
    <w:p w:rsidR="00A11F0A" w:rsidRDefault="00A11F0A" w:rsidP="00A11F0A">
      <w:pPr>
        <w:jc w:val="center"/>
        <w:rPr>
          <w:rFonts w:cstheme="minorHAnsi"/>
          <w:color w:val="1F497D" w:themeColor="text2"/>
        </w:rPr>
      </w:pPr>
    </w:p>
    <w:p w:rsidR="00A11F0A" w:rsidRDefault="00A11F0A" w:rsidP="00A11F0A">
      <w:pPr>
        <w:jc w:val="center"/>
        <w:rPr>
          <w:rFonts w:cstheme="minorHAnsi"/>
          <w:color w:val="1F497D" w:themeColor="text2"/>
        </w:rPr>
      </w:pPr>
    </w:p>
    <w:p w:rsidR="00A11F0A" w:rsidRPr="00810EFC" w:rsidRDefault="00A11F0A" w:rsidP="00A11F0A">
      <w:pPr>
        <w:jc w:val="center"/>
        <w:rPr>
          <w:rFonts w:eastAsiaTheme="majorEastAsia" w:cstheme="minorHAnsi"/>
          <w:b/>
          <w:bCs/>
          <w:color w:val="365F91" w:themeColor="accent1" w:themeShade="BF"/>
          <w:sz w:val="32"/>
          <w:szCs w:val="32"/>
        </w:rPr>
      </w:pPr>
      <w:r w:rsidRPr="00810EFC">
        <w:rPr>
          <w:rFonts w:eastAsiaTheme="majorEastAsia" w:cstheme="minorHAnsi"/>
          <w:b/>
          <w:bCs/>
          <w:color w:val="365F91" w:themeColor="accent1" w:themeShade="BF"/>
          <w:sz w:val="32"/>
          <w:szCs w:val="32"/>
        </w:rPr>
        <w:t>S’exer</w:t>
      </w:r>
      <w:r w:rsidR="00631384">
        <w:rPr>
          <w:rFonts w:eastAsiaTheme="majorEastAsia" w:cstheme="minorHAnsi"/>
          <w:b/>
          <w:bCs/>
          <w:color w:val="365F91" w:themeColor="accent1" w:themeShade="BF"/>
          <w:sz w:val="32"/>
          <w:szCs w:val="32"/>
        </w:rPr>
        <w:t>cer à lire les signes des temps</w:t>
      </w:r>
    </w:p>
    <w:p w:rsidR="00A11F0A" w:rsidRDefault="00A11F0A" w:rsidP="00A11F0A">
      <w:pPr>
        <w:jc w:val="center"/>
        <w:rPr>
          <w:rFonts w:cstheme="minorHAnsi"/>
          <w:color w:val="1F497D" w:themeColor="text2"/>
        </w:rPr>
      </w:pPr>
    </w:p>
    <w:p w:rsidR="00A11F0A" w:rsidRPr="00A11F0A" w:rsidRDefault="00A11F0A" w:rsidP="00A11F0A">
      <w:pPr>
        <w:jc w:val="center"/>
        <w:rPr>
          <w:rFonts w:cstheme="minorHAnsi"/>
          <w:color w:val="1F497D" w:themeColor="text2"/>
        </w:rPr>
      </w:pPr>
    </w:p>
    <w:p w:rsidR="00A11F0A" w:rsidRPr="00A11F0A" w:rsidRDefault="00A11F0A" w:rsidP="00A11F0A">
      <w:pPr>
        <w:jc w:val="both"/>
        <w:rPr>
          <w:rFonts w:cstheme="minorHAnsi"/>
        </w:rPr>
      </w:pPr>
      <w:r w:rsidRPr="00A11F0A">
        <w:rPr>
          <w:rFonts w:cstheme="minorHAnsi"/>
          <w:b/>
        </w:rPr>
        <w:t>Visée :</w:t>
      </w:r>
      <w:r w:rsidRPr="00A11F0A">
        <w:rPr>
          <w:rFonts w:cstheme="minorHAnsi"/>
        </w:rPr>
        <w:t xml:space="preserve"> Vivre davantage la dimension apostolique de la communauté.</w:t>
      </w:r>
    </w:p>
    <w:p w:rsidR="00810EFC" w:rsidRDefault="00810EFC" w:rsidP="00810EFC">
      <w:pPr>
        <w:jc w:val="both"/>
        <w:rPr>
          <w:rFonts w:cstheme="minorHAnsi"/>
        </w:rPr>
      </w:pPr>
    </w:p>
    <w:p w:rsidR="00810EFC" w:rsidRPr="00810EFC" w:rsidRDefault="00810EFC" w:rsidP="00810EFC">
      <w:pPr>
        <w:jc w:val="both"/>
        <w:rPr>
          <w:rFonts w:cstheme="minorHAnsi"/>
        </w:rPr>
      </w:pPr>
      <w:r w:rsidRPr="00810EFC">
        <w:rPr>
          <w:rFonts w:cstheme="minorHAnsi"/>
        </w:rPr>
        <w:t>Les changements dans le monde autour de nous (le travail, la société, la famille, l'école …) provoquent souvent en nous des mouvements intérieurs, des interrogations, un désir d'action ou un sentiment d'impuissance. Il s'agit de voir comment nous pouvons, en CL, tenter de comprendre mieux ce qui se joue dans ces mutations du monde, ce qui appelle une information, une conversion, une action.</w:t>
      </w:r>
    </w:p>
    <w:p w:rsidR="00A11F0A" w:rsidRPr="00A11F0A" w:rsidRDefault="00A11F0A" w:rsidP="00A11F0A">
      <w:pPr>
        <w:jc w:val="both"/>
        <w:rPr>
          <w:rFonts w:cstheme="minorHAnsi"/>
        </w:rPr>
      </w:pPr>
    </w:p>
    <w:p w:rsidR="00810EFC" w:rsidRDefault="00810EFC" w:rsidP="004F68A3">
      <w:pPr>
        <w:spacing w:after="60"/>
        <w:jc w:val="both"/>
        <w:rPr>
          <w:rFonts w:cstheme="minorHAnsi"/>
        </w:rPr>
      </w:pPr>
      <w:r>
        <w:rPr>
          <w:rFonts w:cstheme="minorHAnsi"/>
          <w:b/>
        </w:rPr>
        <w:t>Texte pour la p</w:t>
      </w:r>
      <w:r w:rsidR="00A11F0A" w:rsidRPr="00A11F0A">
        <w:rPr>
          <w:rFonts w:cstheme="minorHAnsi"/>
          <w:b/>
        </w:rPr>
        <w:t>rière</w:t>
      </w:r>
      <w:r w:rsidR="00BA15A8">
        <w:rPr>
          <w:rFonts w:cstheme="minorHAnsi"/>
          <w:b/>
        </w:rPr>
        <w:t>, au choix</w:t>
      </w:r>
      <w:r w:rsidR="00A11F0A" w:rsidRPr="00A11F0A">
        <w:rPr>
          <w:rFonts w:cstheme="minorHAnsi"/>
          <w:b/>
        </w:rPr>
        <w:t> :</w:t>
      </w:r>
      <w:r w:rsidR="00A11F0A" w:rsidRPr="00A11F0A">
        <w:rPr>
          <w:rFonts w:cstheme="minorHAnsi"/>
        </w:rPr>
        <w:t xml:space="preserve"> </w:t>
      </w:r>
    </w:p>
    <w:p w:rsidR="00810EFC" w:rsidRPr="00810EFC" w:rsidRDefault="00810EFC" w:rsidP="00BA15A8">
      <w:pPr>
        <w:pStyle w:val="Paragraphedeliste"/>
        <w:numPr>
          <w:ilvl w:val="0"/>
          <w:numId w:val="10"/>
        </w:numPr>
        <w:jc w:val="both"/>
        <w:rPr>
          <w:rFonts w:cstheme="minorHAnsi"/>
        </w:rPr>
      </w:pPr>
      <w:r w:rsidRPr="00810EFC">
        <w:rPr>
          <w:rFonts w:cstheme="minorHAnsi"/>
        </w:rPr>
        <w:t>Les trois paragraphes du  PG 6</w:t>
      </w:r>
      <w:r w:rsidRPr="00810EFC">
        <w:rPr>
          <w:rFonts w:cstheme="minorHAnsi"/>
        </w:rPr>
        <w:tab/>
      </w:r>
      <w:r w:rsidR="00BA15A8">
        <w:rPr>
          <w:rFonts w:cstheme="minorHAnsi"/>
        </w:rPr>
        <w:tab/>
      </w:r>
      <w:hyperlink r:id="rId6" w:history="1">
        <w:r w:rsidRPr="00810EFC">
          <w:rPr>
            <w:rStyle w:val="Lienhypertexte"/>
            <w:rFonts w:cstheme="minorHAnsi"/>
          </w:rPr>
          <w:t>Texte des PG vers</w:t>
        </w:r>
        <w:r w:rsidRPr="00810EFC">
          <w:rPr>
            <w:rStyle w:val="Lienhypertexte"/>
            <w:rFonts w:cstheme="minorHAnsi"/>
          </w:rPr>
          <w:t>i</w:t>
        </w:r>
        <w:r w:rsidRPr="00810EFC">
          <w:rPr>
            <w:rStyle w:val="Lienhypertexte"/>
            <w:rFonts w:cstheme="minorHAnsi"/>
          </w:rPr>
          <w:t>on 2014</w:t>
        </w:r>
      </w:hyperlink>
    </w:p>
    <w:p w:rsidR="00810EFC" w:rsidRDefault="00631384" w:rsidP="00BA15A8">
      <w:pPr>
        <w:pStyle w:val="Paragraphedeliste"/>
        <w:numPr>
          <w:ilvl w:val="0"/>
          <w:numId w:val="10"/>
        </w:numPr>
        <w:jc w:val="both"/>
        <w:rPr>
          <w:rFonts w:cstheme="minorHAnsi"/>
        </w:rPr>
      </w:pPr>
      <w:proofErr w:type="spellStart"/>
      <w:r>
        <w:rPr>
          <w:rFonts w:cstheme="minorHAnsi"/>
        </w:rPr>
        <w:t>Gaudium</w:t>
      </w:r>
      <w:proofErr w:type="spellEnd"/>
      <w:r>
        <w:rPr>
          <w:rFonts w:cstheme="minorHAnsi"/>
        </w:rPr>
        <w:t xml:space="preserve"> et </w:t>
      </w:r>
      <w:proofErr w:type="spellStart"/>
      <w:r>
        <w:rPr>
          <w:rFonts w:cstheme="minorHAnsi"/>
        </w:rPr>
        <w:t>Spes</w:t>
      </w:r>
      <w:proofErr w:type="spellEnd"/>
      <w:r>
        <w:rPr>
          <w:rFonts w:cstheme="minorHAnsi"/>
        </w:rPr>
        <w:t xml:space="preserve"> 11</w:t>
      </w:r>
      <w:r>
        <w:rPr>
          <w:rFonts w:cstheme="minorHAnsi"/>
        </w:rPr>
        <w:tab/>
      </w:r>
      <w:hyperlink r:id="rId7" w:history="1">
        <w:r w:rsidRPr="00BC3539">
          <w:rPr>
            <w:rStyle w:val="Lienhypertexte"/>
            <w:rFonts w:cstheme="minorHAnsi"/>
          </w:rPr>
          <w:t>http://www.doctrine-sociale-catholique.fr/132-gaudium-et-spes#p11</w:t>
        </w:r>
      </w:hyperlink>
    </w:p>
    <w:p w:rsidR="00810EFC" w:rsidRPr="00810EFC" w:rsidRDefault="00631384" w:rsidP="00BA15A8">
      <w:pPr>
        <w:pStyle w:val="Paragraphedeliste"/>
        <w:numPr>
          <w:ilvl w:val="0"/>
          <w:numId w:val="10"/>
        </w:numPr>
        <w:jc w:val="both"/>
        <w:rPr>
          <w:rFonts w:cstheme="minorHAnsi"/>
        </w:rPr>
      </w:pPr>
      <w:r>
        <w:rPr>
          <w:rFonts w:cstheme="minorHAnsi"/>
        </w:rPr>
        <w:t>Luc 12, 35-48</w:t>
      </w:r>
      <w:r w:rsidR="00BA15A8">
        <w:rPr>
          <w:rFonts w:cstheme="minorHAnsi"/>
        </w:rPr>
        <w:t xml:space="preserve"> « </w:t>
      </w:r>
      <w:r w:rsidR="00BA15A8" w:rsidRPr="00BA15A8">
        <w:rPr>
          <w:rFonts w:cstheme="minorHAnsi"/>
        </w:rPr>
        <w:t>Restez en tenue de service</w:t>
      </w:r>
      <w:r w:rsidR="00BA15A8">
        <w:rPr>
          <w:rFonts w:cstheme="minorHAnsi"/>
        </w:rPr>
        <w:t> »</w:t>
      </w:r>
    </w:p>
    <w:p w:rsidR="00A11F0A" w:rsidRPr="00810EFC" w:rsidRDefault="00A11F0A" w:rsidP="00BA15A8">
      <w:pPr>
        <w:pStyle w:val="Paragraphedeliste"/>
        <w:numPr>
          <w:ilvl w:val="0"/>
          <w:numId w:val="10"/>
        </w:numPr>
        <w:jc w:val="both"/>
        <w:rPr>
          <w:rFonts w:cstheme="minorHAnsi"/>
        </w:rPr>
      </w:pPr>
      <w:r w:rsidRPr="00810EFC">
        <w:rPr>
          <w:rFonts w:cstheme="minorHAnsi"/>
        </w:rPr>
        <w:t>Luc 12, 49</w:t>
      </w:r>
      <w:r w:rsidR="00BA15A8">
        <w:rPr>
          <w:rFonts w:cstheme="minorHAnsi"/>
        </w:rPr>
        <w:t>-56 « </w:t>
      </w:r>
      <w:r w:rsidR="00BA15A8" w:rsidRPr="00BA15A8">
        <w:rPr>
          <w:rFonts w:cstheme="minorHAnsi"/>
        </w:rPr>
        <w:t>Je suis venu apporter un feu sur la terre</w:t>
      </w:r>
      <w:r w:rsidR="00BA15A8">
        <w:rPr>
          <w:rFonts w:cstheme="minorHAnsi"/>
        </w:rPr>
        <w:t> »</w:t>
      </w:r>
    </w:p>
    <w:p w:rsidR="00810EFC" w:rsidRDefault="00810EFC" w:rsidP="00A11F0A">
      <w:pPr>
        <w:jc w:val="both"/>
        <w:rPr>
          <w:rFonts w:cstheme="minorHAnsi"/>
          <w:bCs/>
        </w:rPr>
      </w:pPr>
    </w:p>
    <w:p w:rsidR="00A11F0A" w:rsidRPr="00A11F0A" w:rsidRDefault="00810EFC" w:rsidP="004F68A3">
      <w:pPr>
        <w:spacing w:after="60"/>
        <w:jc w:val="both"/>
        <w:rPr>
          <w:rFonts w:cstheme="minorHAnsi"/>
        </w:rPr>
      </w:pPr>
      <w:r>
        <w:rPr>
          <w:rFonts w:cstheme="minorHAnsi"/>
          <w:b/>
        </w:rPr>
        <w:t xml:space="preserve">Pour préparer mon </w:t>
      </w:r>
      <w:r w:rsidR="00A11F0A" w:rsidRPr="00A11F0A">
        <w:rPr>
          <w:rFonts w:cstheme="minorHAnsi"/>
          <w:b/>
        </w:rPr>
        <w:t>partage</w:t>
      </w:r>
      <w:r>
        <w:rPr>
          <w:rFonts w:cstheme="minorHAnsi"/>
          <w:b/>
        </w:rPr>
        <w:t> :</w:t>
      </w:r>
    </w:p>
    <w:p w:rsidR="00810EFC" w:rsidRPr="00810EFC" w:rsidRDefault="00810EFC" w:rsidP="00810EFC">
      <w:pPr>
        <w:pStyle w:val="Paragraphedeliste"/>
        <w:numPr>
          <w:ilvl w:val="0"/>
          <w:numId w:val="6"/>
        </w:numPr>
        <w:jc w:val="both"/>
        <w:rPr>
          <w:rFonts w:cstheme="minorHAnsi"/>
        </w:rPr>
      </w:pPr>
      <w:r w:rsidRPr="00810EFC">
        <w:rPr>
          <w:rFonts w:cstheme="minorHAnsi"/>
        </w:rPr>
        <w:t>Je c</w:t>
      </w:r>
      <w:r w:rsidR="00A11F0A" w:rsidRPr="00810EFC">
        <w:rPr>
          <w:rFonts w:cstheme="minorHAnsi"/>
        </w:rPr>
        <w:t>ommence par relire les précé</w:t>
      </w:r>
      <w:r w:rsidR="00631384">
        <w:rPr>
          <w:rFonts w:cstheme="minorHAnsi"/>
        </w:rPr>
        <w:t>dentes rencontres en reprenant m</w:t>
      </w:r>
      <w:r w:rsidR="00A11F0A" w:rsidRPr="00810EFC">
        <w:rPr>
          <w:rFonts w:cstheme="minorHAnsi"/>
        </w:rPr>
        <w:t xml:space="preserve">es notes </w:t>
      </w:r>
      <w:r w:rsidRPr="00810EFC">
        <w:rPr>
          <w:rFonts w:cstheme="minorHAnsi"/>
        </w:rPr>
        <w:t xml:space="preserve">: </w:t>
      </w:r>
    </w:p>
    <w:p w:rsidR="00810EFC" w:rsidRPr="00810EFC" w:rsidRDefault="00A11F0A" w:rsidP="00810EFC">
      <w:pPr>
        <w:pStyle w:val="Paragraphedeliste"/>
        <w:numPr>
          <w:ilvl w:val="0"/>
          <w:numId w:val="4"/>
        </w:numPr>
        <w:jc w:val="both"/>
        <w:rPr>
          <w:rFonts w:cstheme="minorHAnsi"/>
        </w:rPr>
      </w:pPr>
      <w:r w:rsidRPr="00810EFC">
        <w:rPr>
          <w:rFonts w:cstheme="minorHAnsi"/>
        </w:rPr>
        <w:t xml:space="preserve">Quelles sont les questions portées par les uns et les autres ? </w:t>
      </w:r>
    </w:p>
    <w:p w:rsidR="00810EFC" w:rsidRPr="00810EFC" w:rsidRDefault="00A11F0A" w:rsidP="00810EFC">
      <w:pPr>
        <w:pStyle w:val="Paragraphedeliste"/>
        <w:numPr>
          <w:ilvl w:val="0"/>
          <w:numId w:val="4"/>
        </w:numPr>
        <w:jc w:val="both"/>
        <w:rPr>
          <w:rFonts w:cstheme="minorHAnsi"/>
        </w:rPr>
      </w:pPr>
      <w:r w:rsidRPr="00810EFC">
        <w:rPr>
          <w:rFonts w:cstheme="minorHAnsi"/>
        </w:rPr>
        <w:t xml:space="preserve">De quoi ces questions de société sont-elles le signe ? </w:t>
      </w:r>
    </w:p>
    <w:p w:rsidR="00810EFC" w:rsidRPr="00810EFC" w:rsidRDefault="00A11F0A" w:rsidP="00810EFC">
      <w:pPr>
        <w:pStyle w:val="Paragraphedeliste"/>
        <w:numPr>
          <w:ilvl w:val="0"/>
          <w:numId w:val="4"/>
        </w:numPr>
        <w:jc w:val="both"/>
        <w:rPr>
          <w:rFonts w:cstheme="minorHAnsi"/>
        </w:rPr>
      </w:pPr>
      <w:r w:rsidRPr="00810EFC">
        <w:rPr>
          <w:rFonts w:cstheme="minorHAnsi"/>
        </w:rPr>
        <w:t xml:space="preserve">Quels mouvements intérieurs cela suscite-t-il en moi ? </w:t>
      </w:r>
    </w:p>
    <w:p w:rsidR="00A11F0A" w:rsidRPr="00810EFC" w:rsidRDefault="00A11F0A" w:rsidP="004F68A3">
      <w:pPr>
        <w:pStyle w:val="Paragraphedeliste"/>
        <w:numPr>
          <w:ilvl w:val="0"/>
          <w:numId w:val="4"/>
        </w:numPr>
        <w:spacing w:after="60"/>
        <w:contextualSpacing w:val="0"/>
        <w:jc w:val="both"/>
        <w:rPr>
          <w:rFonts w:cstheme="minorHAnsi"/>
        </w:rPr>
      </w:pPr>
      <w:r w:rsidRPr="00810EFC">
        <w:rPr>
          <w:rFonts w:cstheme="minorHAnsi"/>
        </w:rPr>
        <w:t>Demander à Dieu la grâce de voir ces événements tels qu'ils sont pour lui.</w:t>
      </w:r>
    </w:p>
    <w:p w:rsidR="00DD12C0" w:rsidRDefault="00A11F0A" w:rsidP="00DD12C0">
      <w:pPr>
        <w:pStyle w:val="Paragraphedeliste"/>
        <w:numPr>
          <w:ilvl w:val="0"/>
          <w:numId w:val="6"/>
        </w:numPr>
        <w:jc w:val="both"/>
        <w:rPr>
          <w:rFonts w:cstheme="minorHAnsi"/>
        </w:rPr>
      </w:pPr>
      <w:r w:rsidRPr="00DD12C0">
        <w:rPr>
          <w:rFonts w:cstheme="minorHAnsi"/>
        </w:rPr>
        <w:t xml:space="preserve">En me servant du texte proposé pour la prière, ainsi que des documents proposés par le responsable et l'accompagnateur, </w:t>
      </w:r>
      <w:r w:rsidR="00DD12C0">
        <w:rPr>
          <w:rFonts w:cstheme="minorHAnsi"/>
        </w:rPr>
        <w:t xml:space="preserve">je </w:t>
      </w:r>
      <w:r w:rsidRPr="00DD12C0">
        <w:rPr>
          <w:rFonts w:cstheme="minorHAnsi"/>
        </w:rPr>
        <w:t xml:space="preserve">cherche comment la Parole de Dieu éclaire ce que je vois. </w:t>
      </w:r>
    </w:p>
    <w:p w:rsidR="00A11F0A" w:rsidRPr="00DD12C0" w:rsidRDefault="00A11F0A" w:rsidP="004F68A3">
      <w:pPr>
        <w:pStyle w:val="Paragraphedeliste"/>
        <w:spacing w:after="60"/>
        <w:ind w:left="708"/>
        <w:contextualSpacing w:val="0"/>
        <w:jc w:val="both"/>
        <w:rPr>
          <w:rFonts w:cstheme="minorHAnsi"/>
        </w:rPr>
      </w:pPr>
      <w:r w:rsidRPr="00DD12C0">
        <w:rPr>
          <w:rFonts w:cstheme="minorHAnsi"/>
        </w:rPr>
        <w:t>Me laisser toucher, convertir, me demander si je suis suffisamment prêt(e) à me laisser déplacer dans mes certitudes par la pluralité des points de vue.</w:t>
      </w:r>
    </w:p>
    <w:p w:rsidR="00A11F0A" w:rsidRPr="00810EFC" w:rsidRDefault="00A11F0A" w:rsidP="00810EFC">
      <w:pPr>
        <w:pStyle w:val="Paragraphedeliste"/>
        <w:numPr>
          <w:ilvl w:val="0"/>
          <w:numId w:val="7"/>
        </w:numPr>
        <w:jc w:val="both"/>
        <w:rPr>
          <w:rFonts w:cstheme="minorHAnsi"/>
        </w:rPr>
      </w:pPr>
      <w:r w:rsidRPr="00810EFC">
        <w:rPr>
          <w:rFonts w:cstheme="minorHAnsi"/>
        </w:rPr>
        <w:t>Dans “les événements, les exigences et les requêtes” (</w:t>
      </w:r>
      <w:proofErr w:type="spellStart"/>
      <w:r w:rsidRPr="00810EFC">
        <w:rPr>
          <w:rFonts w:cstheme="minorHAnsi"/>
        </w:rPr>
        <w:t>Gaudium</w:t>
      </w:r>
      <w:proofErr w:type="spellEnd"/>
      <w:r w:rsidRPr="00810EFC">
        <w:rPr>
          <w:rFonts w:cstheme="minorHAnsi"/>
        </w:rPr>
        <w:t xml:space="preserve"> et </w:t>
      </w:r>
      <w:proofErr w:type="spellStart"/>
      <w:r w:rsidRPr="00810EFC">
        <w:rPr>
          <w:rFonts w:cstheme="minorHAnsi"/>
        </w:rPr>
        <w:t>Spes</w:t>
      </w:r>
      <w:proofErr w:type="spellEnd"/>
      <w:r w:rsidRPr="00810EFC">
        <w:rPr>
          <w:rFonts w:cstheme="minorHAnsi"/>
        </w:rPr>
        <w:t xml:space="preserve"> 11) que j'ai observés, qu'est-ce qui manifeste une foi élémentaire en la vie, une charité en actes, une espérance, en moi et en ceux qui y sont impliqués ? En quoi ces signes suscitent-ils ma foi de disciple du Christ ?</w:t>
      </w:r>
    </w:p>
    <w:p w:rsidR="00810EFC" w:rsidRDefault="00810EFC" w:rsidP="00A11F0A">
      <w:pPr>
        <w:jc w:val="both"/>
        <w:rPr>
          <w:rFonts w:cstheme="minorHAnsi"/>
          <w:b/>
        </w:rPr>
      </w:pPr>
    </w:p>
    <w:p w:rsidR="00A11F0A" w:rsidRPr="00810EFC" w:rsidRDefault="00810EFC" w:rsidP="004F68A3">
      <w:pPr>
        <w:spacing w:after="60"/>
        <w:jc w:val="both"/>
        <w:rPr>
          <w:rFonts w:cstheme="minorHAnsi"/>
          <w:b/>
        </w:rPr>
      </w:pPr>
      <w:r w:rsidRPr="00810EFC">
        <w:rPr>
          <w:rFonts w:cstheme="minorHAnsi"/>
          <w:b/>
        </w:rPr>
        <w:t>La réunion</w:t>
      </w:r>
      <w:r>
        <w:rPr>
          <w:rFonts w:cstheme="minorHAnsi"/>
          <w:b/>
        </w:rPr>
        <w:t> :</w:t>
      </w:r>
    </w:p>
    <w:p w:rsidR="00810EFC" w:rsidRDefault="00810EFC" w:rsidP="00810EFC">
      <w:pPr>
        <w:jc w:val="both"/>
        <w:rPr>
          <w:rFonts w:cstheme="minorHAnsi"/>
        </w:rPr>
      </w:pPr>
      <w:r>
        <w:rPr>
          <w:rFonts w:cstheme="minorHAnsi"/>
        </w:rPr>
        <w:t>C</w:t>
      </w:r>
      <w:r w:rsidR="00A11F0A" w:rsidRPr="00810EFC">
        <w:rPr>
          <w:rFonts w:cstheme="minorHAnsi"/>
        </w:rPr>
        <w:t xml:space="preserve">hacun partage sur ce qui lui a paru essentiel lors de sa préparation. </w:t>
      </w:r>
    </w:p>
    <w:p w:rsidR="00A11F0A" w:rsidRPr="00810EFC" w:rsidRDefault="00A11F0A" w:rsidP="00810EFC">
      <w:pPr>
        <w:jc w:val="both"/>
        <w:rPr>
          <w:rFonts w:cstheme="minorHAnsi"/>
        </w:rPr>
      </w:pPr>
      <w:r w:rsidRPr="00810EFC">
        <w:rPr>
          <w:rFonts w:cstheme="minorHAnsi"/>
        </w:rPr>
        <w:t>Le second tour perme</w:t>
      </w:r>
      <w:r w:rsidR="00631384">
        <w:rPr>
          <w:rFonts w:cstheme="minorHAnsi"/>
        </w:rPr>
        <w:t>t</w:t>
      </w:r>
      <w:r w:rsidRPr="00810EFC">
        <w:rPr>
          <w:rFonts w:cstheme="minorHAnsi"/>
        </w:rPr>
        <w:t xml:space="preserve"> de réagir et de s'interpeller en vue d'un approfondissement et d'un soutien mutuel.</w:t>
      </w:r>
    </w:p>
    <w:p w:rsidR="00A11F0A" w:rsidRPr="00A11F0A" w:rsidRDefault="00A11F0A" w:rsidP="00A11F0A">
      <w:pPr>
        <w:jc w:val="both"/>
        <w:rPr>
          <w:rFonts w:cstheme="minorHAnsi"/>
        </w:rPr>
      </w:pPr>
    </w:p>
    <w:p w:rsidR="00A11F0A" w:rsidRPr="00A11F0A" w:rsidRDefault="00810EFC" w:rsidP="004F68A3">
      <w:pPr>
        <w:spacing w:after="60"/>
        <w:jc w:val="both"/>
        <w:rPr>
          <w:rFonts w:cstheme="minorHAnsi"/>
        </w:rPr>
      </w:pPr>
      <w:r>
        <w:rPr>
          <w:rFonts w:cstheme="minorHAnsi"/>
          <w:b/>
        </w:rPr>
        <w:t>Pour aller plus loin :</w:t>
      </w:r>
    </w:p>
    <w:p w:rsidR="00A11F0A" w:rsidRDefault="00A11F0A" w:rsidP="00631384">
      <w:pPr>
        <w:pStyle w:val="Paragraphedeliste"/>
        <w:numPr>
          <w:ilvl w:val="0"/>
          <w:numId w:val="9"/>
        </w:numPr>
        <w:jc w:val="both"/>
        <w:rPr>
          <w:rFonts w:cstheme="minorHAnsi"/>
        </w:rPr>
      </w:pPr>
      <w:r w:rsidRPr="00DD12C0">
        <w:rPr>
          <w:rFonts w:cstheme="minorHAnsi"/>
        </w:rPr>
        <w:t xml:space="preserve">Vatican II, </w:t>
      </w:r>
      <w:proofErr w:type="spellStart"/>
      <w:r w:rsidRPr="00DD12C0">
        <w:rPr>
          <w:rFonts w:cstheme="minorHAnsi"/>
        </w:rPr>
        <w:t>Gaudium</w:t>
      </w:r>
      <w:proofErr w:type="spellEnd"/>
      <w:r w:rsidRPr="00DD12C0">
        <w:rPr>
          <w:rFonts w:cstheme="minorHAnsi"/>
        </w:rPr>
        <w:t xml:space="preserve"> et </w:t>
      </w:r>
      <w:proofErr w:type="spellStart"/>
      <w:r w:rsidRPr="00DD12C0">
        <w:rPr>
          <w:rFonts w:cstheme="minorHAnsi"/>
        </w:rPr>
        <w:t>Spes</w:t>
      </w:r>
      <w:proofErr w:type="spellEnd"/>
      <w:r w:rsidRPr="00DD12C0">
        <w:rPr>
          <w:rFonts w:cstheme="minorHAnsi"/>
        </w:rPr>
        <w:t xml:space="preserve"> 11 </w:t>
      </w:r>
      <w:hyperlink r:id="rId8" w:history="1">
        <w:r w:rsidR="00631384" w:rsidRPr="00BC3539">
          <w:rPr>
            <w:rStyle w:val="Lienhypertexte"/>
            <w:rFonts w:cstheme="minorHAnsi"/>
          </w:rPr>
          <w:t>http://www.doctrine-sociale-catholique.fr/132-gaudium-et-spes#p11</w:t>
        </w:r>
      </w:hyperlink>
    </w:p>
    <w:p w:rsidR="00631384" w:rsidRDefault="00A11F0A" w:rsidP="00631384">
      <w:pPr>
        <w:pStyle w:val="Paragraphedeliste"/>
        <w:numPr>
          <w:ilvl w:val="0"/>
          <w:numId w:val="9"/>
        </w:numPr>
        <w:jc w:val="both"/>
        <w:rPr>
          <w:rFonts w:cstheme="minorHAnsi"/>
        </w:rPr>
      </w:pPr>
      <w:r w:rsidRPr="00631384">
        <w:rPr>
          <w:rFonts w:cstheme="minorHAnsi"/>
        </w:rPr>
        <w:t>Textes de l</w:t>
      </w:r>
      <w:r w:rsidR="00631384" w:rsidRPr="00631384">
        <w:rPr>
          <w:rFonts w:cstheme="minorHAnsi"/>
        </w:rPr>
        <w:t xml:space="preserve">a Doctrine sociale de l'Eglise </w:t>
      </w:r>
      <w:r w:rsidR="00631384" w:rsidRPr="00631384">
        <w:rPr>
          <w:rFonts w:cstheme="minorHAnsi"/>
        </w:rPr>
        <w:tab/>
      </w:r>
      <w:r w:rsidR="00631384" w:rsidRPr="00631384">
        <w:rPr>
          <w:rFonts w:cstheme="minorHAnsi"/>
        </w:rPr>
        <w:tab/>
      </w:r>
      <w:hyperlink r:id="rId9" w:history="1">
        <w:r w:rsidR="00631384" w:rsidRPr="00BC3539">
          <w:rPr>
            <w:rStyle w:val="Lienhypertexte"/>
            <w:rFonts w:cstheme="minorHAnsi"/>
          </w:rPr>
          <w:t>http://www.doctrine-sociale-catholique.fr/</w:t>
        </w:r>
      </w:hyperlink>
    </w:p>
    <w:p w:rsidR="00A11F0A" w:rsidRPr="00631384" w:rsidRDefault="00A11F0A" w:rsidP="00DD12C0">
      <w:pPr>
        <w:pStyle w:val="Paragraphedeliste"/>
        <w:numPr>
          <w:ilvl w:val="0"/>
          <w:numId w:val="9"/>
        </w:numPr>
        <w:jc w:val="both"/>
        <w:rPr>
          <w:rFonts w:cstheme="minorHAnsi"/>
        </w:rPr>
      </w:pPr>
      <w:r w:rsidRPr="00631384">
        <w:rPr>
          <w:rFonts w:cstheme="minorHAnsi"/>
        </w:rPr>
        <w:t>Revue Projet, édition spéciale de décembre 2011 (Université d'été CVX août 2011)</w:t>
      </w:r>
    </w:p>
    <w:p w:rsidR="004F68A3" w:rsidRDefault="004F68A3" w:rsidP="00631384">
      <w:pPr>
        <w:pStyle w:val="Sansinterligne"/>
        <w:rPr>
          <w:rFonts w:cstheme="minorHAnsi"/>
        </w:rPr>
      </w:pPr>
    </w:p>
    <w:p w:rsidR="004F68A3" w:rsidRDefault="004F68A3" w:rsidP="00631384">
      <w:pPr>
        <w:pStyle w:val="Sansinterligne"/>
        <w:rPr>
          <w:rFonts w:cstheme="minorHAnsi"/>
        </w:rPr>
      </w:pPr>
    </w:p>
    <w:p w:rsidR="00BD7E3E" w:rsidRPr="00A11F0A" w:rsidRDefault="00BA759E" w:rsidP="00631384">
      <w:pPr>
        <w:pStyle w:val="Sansinterligne"/>
        <w:rPr>
          <w:rFonts w:cstheme="minorHAnsi"/>
          <w:noProof/>
        </w:rPr>
      </w:pPr>
      <w:r w:rsidRPr="00A11F0A">
        <w:rPr>
          <w:rFonts w:cstheme="minorHAnsi"/>
        </w:rPr>
        <w:t xml:space="preserve">Date : </w:t>
      </w:r>
      <w:r w:rsidR="00810EFC">
        <w:rPr>
          <w:rFonts w:cstheme="minorHAnsi"/>
        </w:rPr>
        <w:t>Décembre</w:t>
      </w:r>
      <w:r w:rsidRPr="00A11F0A">
        <w:rPr>
          <w:rFonts w:cstheme="minorHAnsi"/>
        </w:rPr>
        <w:t xml:space="preserve"> 201</w:t>
      </w:r>
      <w:r w:rsidR="00810EFC">
        <w:rPr>
          <w:rFonts w:cstheme="minorHAnsi"/>
        </w:rPr>
        <w:t>6</w:t>
      </w:r>
      <w:bookmarkStart w:id="0" w:name="_GoBack"/>
      <w:bookmarkEnd w:id="0"/>
    </w:p>
    <w:sectPr w:rsidR="00BD7E3E" w:rsidRPr="00A11F0A" w:rsidSect="004F68A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347902"/>
    <w:multiLevelType w:val="hybridMultilevel"/>
    <w:tmpl w:val="3AC85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C6AF8"/>
    <w:multiLevelType w:val="hybridMultilevel"/>
    <w:tmpl w:val="FC2A8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CB7C1D"/>
    <w:multiLevelType w:val="hybridMultilevel"/>
    <w:tmpl w:val="66AAFAD0"/>
    <w:lvl w:ilvl="0" w:tplc="A95472EA">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D08B4"/>
    <w:multiLevelType w:val="hybridMultilevel"/>
    <w:tmpl w:val="297CC0F4"/>
    <w:lvl w:ilvl="0" w:tplc="A95472EA">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BE2FE9"/>
    <w:multiLevelType w:val="hybridMultilevel"/>
    <w:tmpl w:val="59220010"/>
    <w:lvl w:ilvl="0" w:tplc="F2AAF1AE">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8296FE2"/>
    <w:multiLevelType w:val="hybridMultilevel"/>
    <w:tmpl w:val="016E56F4"/>
    <w:lvl w:ilvl="0" w:tplc="A95472EA">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854BA3"/>
    <w:multiLevelType w:val="hybridMultilevel"/>
    <w:tmpl w:val="00F40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903D3C"/>
    <w:multiLevelType w:val="hybridMultilevel"/>
    <w:tmpl w:val="EE387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7"/>
  </w:num>
  <w:num w:numId="6">
    <w:abstractNumId w:val="3"/>
  </w:num>
  <w:num w:numId="7">
    <w:abstractNumId w:val="2"/>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0A"/>
    <w:rsid w:val="00326677"/>
    <w:rsid w:val="003D09E7"/>
    <w:rsid w:val="003E28D1"/>
    <w:rsid w:val="004D5515"/>
    <w:rsid w:val="004F68A3"/>
    <w:rsid w:val="00596946"/>
    <w:rsid w:val="00631384"/>
    <w:rsid w:val="0076770F"/>
    <w:rsid w:val="00810EFC"/>
    <w:rsid w:val="00A11F0A"/>
    <w:rsid w:val="00A42704"/>
    <w:rsid w:val="00A76A9F"/>
    <w:rsid w:val="00BA15A8"/>
    <w:rsid w:val="00BA759E"/>
    <w:rsid w:val="00BD7E3E"/>
    <w:rsid w:val="00C84C31"/>
    <w:rsid w:val="00DD12C0"/>
    <w:rsid w:val="00E0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23E2F-90E1-4005-BC38-84AAEE12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character" w:styleId="Lienhypertexte">
    <w:name w:val="Hyperlink"/>
    <w:basedOn w:val="Policepardfaut"/>
    <w:uiPriority w:val="99"/>
    <w:unhideWhenUsed/>
    <w:rsid w:val="00810EFC"/>
    <w:rPr>
      <w:color w:val="0000FF" w:themeColor="hyperlink"/>
      <w:u w:val="single"/>
    </w:rPr>
  </w:style>
  <w:style w:type="character" w:styleId="Lienhypertextesuivivisit">
    <w:name w:val="FollowedHyperlink"/>
    <w:basedOn w:val="Policepardfaut"/>
    <w:uiPriority w:val="99"/>
    <w:semiHidden/>
    <w:unhideWhenUsed/>
    <w:rsid w:val="00810EFC"/>
    <w:rPr>
      <w:color w:val="800080" w:themeColor="followedHyperlink"/>
      <w:u w:val="single"/>
    </w:rPr>
  </w:style>
  <w:style w:type="paragraph" w:styleId="Paragraphedeliste">
    <w:name w:val="List Paragraph"/>
    <w:basedOn w:val="Normal"/>
    <w:uiPriority w:val="34"/>
    <w:qFormat/>
    <w:rsid w:val="0081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rine-sociale-catholique.fr/132-gaudium-et-spes#p11" TargetMode="External"/><Relationship Id="rId3" Type="http://schemas.openxmlformats.org/officeDocument/2006/relationships/settings" Target="settings.xml"/><Relationship Id="rId7" Type="http://schemas.openxmlformats.org/officeDocument/2006/relationships/hyperlink" Target="http://www.doctrine-sociale-catholique.fr/132-gaudium-et-spes#p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xfrance.com/wp-content/uploads/2015/07/Principes-G%C3%A9n%C3%A9raux-de-la-Communaut%C3%A9-de-Vie-Chr%C3%A9tienne-version-2014.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ctrine-sociale-catholiqu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30</TotalTime>
  <Pages>1</Pages>
  <Words>418</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4</cp:revision>
  <dcterms:created xsi:type="dcterms:W3CDTF">2014-08-31T08:28:00Z</dcterms:created>
  <dcterms:modified xsi:type="dcterms:W3CDTF">2016-12-20T15:39:00Z</dcterms:modified>
</cp:coreProperties>
</file>