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02" w:rsidRPr="00B510D5" w:rsidRDefault="00782402" w:rsidP="0008615D">
      <w:pPr>
        <w:tabs>
          <w:tab w:val="left" w:pos="6420"/>
        </w:tabs>
        <w:ind w:left="-284"/>
        <w:jc w:val="center"/>
        <w:rPr>
          <w:rFonts w:asciiTheme="majorHAnsi" w:hAnsiTheme="majorHAnsi" w:cstheme="majorHAnsi"/>
          <w:b/>
          <w:i/>
          <w:color w:val="008000"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r w:rsidRPr="00B510D5">
        <w:rPr>
          <w:rFonts w:asciiTheme="majorHAnsi" w:hAnsiTheme="majorHAnsi" w:cstheme="majorHAnsi"/>
          <w:b/>
          <w:i/>
          <w:noProof/>
          <w:color w:val="008000"/>
          <w:sz w:val="40"/>
          <w:lang w:eastAsia="fr-FR"/>
        </w:rPr>
        <w:drawing>
          <wp:anchor distT="0" distB="0" distL="114300" distR="114300" simplePos="0" relativeHeight="251659264" behindDoc="0" locked="0" layoutInCell="1" allowOverlap="1" wp14:anchorId="61F806B0" wp14:editId="03257F9C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344295" cy="1371600"/>
            <wp:effectExtent l="25400" t="0" r="1905" b="0"/>
            <wp:wrapTight wrapText="bothSides">
              <wp:wrapPolygon edited="0">
                <wp:start x="-408" y="0"/>
                <wp:lineTo x="-408" y="21200"/>
                <wp:lineTo x="21631" y="21200"/>
                <wp:lineTo x="21631" y="0"/>
                <wp:lineTo x="-408" y="0"/>
              </wp:wrapPolygon>
            </wp:wrapTight>
            <wp:docPr id="1" name="Image 1" descr="C:\Users\j118328\AppData\Local\Microsoft\Windows\Temporary Internet Files\Content.Outlook\C4DLMAUE\Logo DCS 4x4 cm HD 300 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j118328\AppData\Local\Microsoft\Windows\Temporary Internet Files\Content.Outlook\C4DLMAUE\Logo DCS 4x4 cm HD 300 dpi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2A46" w:rsidRPr="00B510D5" w:rsidRDefault="0008615D" w:rsidP="0008615D">
      <w:pPr>
        <w:tabs>
          <w:tab w:val="left" w:pos="6420"/>
        </w:tabs>
        <w:ind w:left="-284"/>
        <w:jc w:val="center"/>
        <w:rPr>
          <w:rFonts w:asciiTheme="majorHAnsi" w:hAnsiTheme="majorHAnsi" w:cstheme="majorHAnsi"/>
          <w:b/>
          <w:i/>
          <w:color w:val="948A54" w:themeColor="background2" w:themeShade="80"/>
          <w:sz w:val="36"/>
        </w:rPr>
      </w:pPr>
      <w:r w:rsidRPr="00B510D5">
        <w:rPr>
          <w:rFonts w:asciiTheme="majorHAnsi" w:hAnsiTheme="majorHAnsi" w:cstheme="majorHAnsi"/>
          <w:b/>
          <w:i/>
          <w:color w:val="948A54" w:themeColor="background2" w:themeShade="80"/>
          <w:sz w:val="36"/>
        </w:rPr>
        <w:t>Fiche proposition « 3 » jours</w:t>
      </w:r>
      <w:r w:rsidR="003F2A46" w:rsidRPr="00B510D5">
        <w:rPr>
          <w:rFonts w:asciiTheme="majorHAnsi" w:hAnsiTheme="majorHAnsi" w:cstheme="majorHAnsi"/>
          <w:b/>
          <w:i/>
          <w:color w:val="948A54" w:themeColor="background2" w:themeShade="80"/>
          <w:sz w:val="36"/>
        </w:rPr>
        <w:t xml:space="preserve"> d’</w:t>
      </w:r>
      <w:proofErr w:type="spellStart"/>
      <w:r w:rsidR="003F2A46" w:rsidRPr="00B510D5">
        <w:rPr>
          <w:rFonts w:asciiTheme="majorHAnsi" w:hAnsiTheme="majorHAnsi" w:cstheme="majorHAnsi"/>
          <w:b/>
          <w:i/>
          <w:color w:val="948A54" w:themeColor="background2" w:themeShade="80"/>
          <w:sz w:val="36"/>
        </w:rPr>
        <w:t>expériment</w:t>
      </w:r>
      <w:proofErr w:type="spellEnd"/>
      <w:r w:rsidR="00561282" w:rsidRPr="00B510D5">
        <w:rPr>
          <w:rFonts w:asciiTheme="majorHAnsi" w:hAnsiTheme="majorHAnsi" w:cstheme="majorHAnsi"/>
          <w:b/>
          <w:i/>
          <w:color w:val="948A54" w:themeColor="background2" w:themeShade="80"/>
          <w:sz w:val="36"/>
        </w:rPr>
        <w:t> :</w:t>
      </w:r>
    </w:p>
    <w:p w:rsidR="0008615D" w:rsidRPr="00B510D5" w:rsidRDefault="0008615D" w:rsidP="0008615D">
      <w:pPr>
        <w:tabs>
          <w:tab w:val="left" w:pos="6420"/>
        </w:tabs>
        <w:ind w:left="-284"/>
        <w:jc w:val="center"/>
        <w:rPr>
          <w:rFonts w:asciiTheme="majorHAnsi" w:hAnsiTheme="majorHAnsi" w:cstheme="majorHAnsi"/>
          <w:b/>
          <w:i/>
          <w:color w:val="948A54" w:themeColor="background2" w:themeShade="80"/>
          <w:sz w:val="40"/>
        </w:rPr>
      </w:pPr>
    </w:p>
    <w:p w:rsidR="0008615D" w:rsidRPr="00B510D5" w:rsidRDefault="0008615D" w:rsidP="0008615D">
      <w:pPr>
        <w:tabs>
          <w:tab w:val="left" w:pos="6420"/>
        </w:tabs>
        <w:ind w:left="-284"/>
        <w:jc w:val="center"/>
        <w:rPr>
          <w:rFonts w:asciiTheme="majorHAnsi" w:hAnsiTheme="majorHAnsi" w:cstheme="majorHAnsi"/>
          <w:b/>
          <w:i/>
          <w:color w:val="948A54" w:themeColor="background2" w:themeShade="80"/>
          <w:sz w:val="40"/>
        </w:rPr>
      </w:pPr>
      <w:r w:rsidRPr="00B510D5">
        <w:rPr>
          <w:rFonts w:asciiTheme="majorHAnsi" w:hAnsiTheme="majorHAnsi" w:cstheme="majorHAnsi"/>
          <w:b/>
          <w:i/>
          <w:color w:val="948A54" w:themeColor="background2" w:themeShade="80"/>
          <w:sz w:val="40"/>
        </w:rPr>
        <w:t xml:space="preserve">Se mettre au service de la vitalité de la </w:t>
      </w:r>
      <w:proofErr w:type="spellStart"/>
      <w:r w:rsidRPr="00B510D5">
        <w:rPr>
          <w:rFonts w:asciiTheme="majorHAnsi" w:hAnsiTheme="majorHAnsi" w:cstheme="majorHAnsi"/>
          <w:b/>
          <w:i/>
          <w:color w:val="948A54" w:themeColor="background2" w:themeShade="80"/>
          <w:sz w:val="40"/>
        </w:rPr>
        <w:t>cvx</w:t>
      </w:r>
      <w:proofErr w:type="spellEnd"/>
      <w:r w:rsidRPr="00B510D5">
        <w:rPr>
          <w:rFonts w:asciiTheme="majorHAnsi" w:hAnsiTheme="majorHAnsi" w:cstheme="majorHAnsi"/>
          <w:b/>
          <w:i/>
          <w:color w:val="948A54" w:themeColor="background2" w:themeShade="80"/>
          <w:sz w:val="40"/>
        </w:rPr>
        <w:t xml:space="preserve"> </w:t>
      </w:r>
    </w:p>
    <w:p w:rsidR="0008615D" w:rsidRPr="00B510D5" w:rsidRDefault="0008615D" w:rsidP="0008615D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Theme="majorHAnsi" w:hAnsiTheme="majorHAnsi" w:cstheme="majorHAnsi"/>
          <w:color w:val="948A54" w:themeColor="background2" w:themeShade="80"/>
        </w:rPr>
      </w:pPr>
    </w:p>
    <w:p w:rsidR="0008615D" w:rsidRPr="00B510D5" w:rsidRDefault="0008615D" w:rsidP="0008615D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B510D5">
        <w:rPr>
          <w:rFonts w:asciiTheme="majorHAnsi" w:hAnsiTheme="majorHAnsi" w:cstheme="majorHAnsi"/>
          <w:color w:val="008000"/>
        </w:rPr>
        <w:t xml:space="preserve">   </w:t>
      </w:r>
      <w:r w:rsidRPr="00B510D5">
        <w:rPr>
          <w:rFonts w:asciiTheme="majorHAnsi" w:hAnsiTheme="majorHAnsi" w:cstheme="majorHAnsi"/>
        </w:rPr>
        <w:tab/>
      </w:r>
    </w:p>
    <w:p w:rsidR="0008615D" w:rsidRPr="00B510D5" w:rsidRDefault="0008615D" w:rsidP="000861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i/>
        </w:rPr>
      </w:pPr>
      <w:r w:rsidRPr="00B510D5">
        <w:rPr>
          <w:rFonts w:asciiTheme="majorHAnsi" w:hAnsiTheme="majorHAnsi" w:cstheme="majorHAnsi"/>
          <w:i/>
        </w:rPr>
        <w:t>« Le don de nous‐mêmes se traduit par l'engagement personnel dans la communauté mondiale, au travers d'une communauté locale librement choisie (…) Notre responsabilité de développer des liens communautaires ne s'arrête pas à notre communauté locale, mais s'étend à la Communauté de Vie Chrétienne Nationale et Mondiale, aux communautés ecclésiales dont nous faisons  partie (paroisse, diocèse), à</w:t>
      </w:r>
      <w:r w:rsidRPr="00B510D5">
        <w:rPr>
          <w:rFonts w:asciiTheme="majorHAnsi" w:hAnsiTheme="majorHAnsi" w:cstheme="majorHAnsi"/>
          <w:i/>
        </w:rPr>
        <w:tab/>
        <w:t>toute l'</w:t>
      </w:r>
      <w:proofErr w:type="spellStart"/>
      <w:r w:rsidRPr="00B510D5">
        <w:rPr>
          <w:rFonts w:asciiTheme="majorHAnsi" w:hAnsiTheme="majorHAnsi" w:cstheme="majorHAnsi"/>
          <w:i/>
        </w:rPr>
        <w:t>Eglise</w:t>
      </w:r>
      <w:proofErr w:type="spellEnd"/>
      <w:r w:rsidRPr="00B510D5">
        <w:rPr>
          <w:rFonts w:asciiTheme="majorHAnsi" w:hAnsiTheme="majorHAnsi" w:cstheme="majorHAnsi"/>
          <w:i/>
        </w:rPr>
        <w:t> et à tous les  hommes de bonne volonté. » PG 7</w:t>
      </w:r>
      <w:r w:rsidRPr="00B510D5">
        <w:rPr>
          <w:rFonts w:asciiTheme="majorHAnsi" w:hAnsiTheme="majorHAnsi" w:cstheme="majorHAnsi"/>
          <w:i/>
        </w:rPr>
        <w:tab/>
      </w:r>
    </w:p>
    <w:p w:rsidR="0008615D" w:rsidRPr="00B510D5" w:rsidRDefault="0008615D" w:rsidP="000861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i/>
        </w:rPr>
      </w:pPr>
    </w:p>
    <w:p w:rsidR="0008615D" w:rsidRPr="00B510D5" w:rsidRDefault="0008615D" w:rsidP="000861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i/>
        </w:rPr>
      </w:pPr>
      <w:r w:rsidRPr="00B510D5">
        <w:rPr>
          <w:rFonts w:asciiTheme="majorHAnsi" w:hAnsiTheme="majorHAnsi" w:cstheme="majorHAnsi"/>
          <w:i/>
        </w:rPr>
        <w:t>« Nous essayons de donner un sens apostolique aux réalités, même les plus humbles, de la vie quotidienne » PG 8</w:t>
      </w:r>
    </w:p>
    <w:p w:rsidR="00782402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  <w:i/>
        </w:rPr>
      </w:pPr>
      <w:r w:rsidRPr="00B510D5">
        <w:rPr>
          <w:rFonts w:asciiTheme="majorHAnsi" w:hAnsiTheme="majorHAnsi" w:cstheme="majorHAnsi"/>
          <w:i/>
        </w:rPr>
        <w:t xml:space="preserve">  </w:t>
      </w:r>
    </w:p>
    <w:p w:rsidR="0008615D" w:rsidRPr="00B510D5" w:rsidRDefault="00A505A2" w:rsidP="0008615D">
      <w:pPr>
        <w:tabs>
          <w:tab w:val="left" w:pos="6420"/>
        </w:tabs>
        <w:ind w:left="-284"/>
        <w:rPr>
          <w:rFonts w:asciiTheme="majorHAnsi" w:hAnsiTheme="majorHAnsi" w:cstheme="majorHAnsi"/>
        </w:rPr>
      </w:pPr>
      <w:r w:rsidRPr="00B510D5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09D25D7" wp14:editId="37C17C5B">
            <wp:simplePos x="0" y="0"/>
            <wp:positionH relativeFrom="column">
              <wp:posOffset>-455295</wp:posOffset>
            </wp:positionH>
            <wp:positionV relativeFrom="paragraph">
              <wp:posOffset>5715</wp:posOffset>
            </wp:positionV>
            <wp:extent cx="735965" cy="1106805"/>
            <wp:effectExtent l="25400" t="0" r="635" b="0"/>
            <wp:wrapTight wrapText="bothSides">
              <wp:wrapPolygon edited="0">
                <wp:start x="-745" y="0"/>
                <wp:lineTo x="-745" y="21315"/>
                <wp:lineTo x="21619" y="21315"/>
                <wp:lineTo x="21619" y="0"/>
                <wp:lineTo x="-745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0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15D" w:rsidRPr="00B510D5" w:rsidRDefault="0008615D" w:rsidP="000861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B510D5">
        <w:rPr>
          <w:rFonts w:asciiTheme="majorHAnsi" w:hAnsiTheme="majorHAnsi" w:cstheme="majorHAnsi"/>
          <w:b/>
          <w:i/>
          <w:u w:val="single"/>
        </w:rPr>
        <w:t>Expérimentation :</w:t>
      </w:r>
      <w:r w:rsidRPr="00B510D5">
        <w:rPr>
          <w:rFonts w:asciiTheme="majorHAnsi" w:hAnsiTheme="majorHAnsi" w:cstheme="majorHAnsi"/>
          <w:b/>
          <w:i/>
        </w:rPr>
        <w:t xml:space="preserve"> </w:t>
      </w:r>
      <w:r w:rsidRPr="00B510D5">
        <w:rPr>
          <w:rFonts w:asciiTheme="majorHAnsi" w:hAnsiTheme="majorHAnsi" w:cstheme="majorHAnsi"/>
        </w:rPr>
        <w:t>Vivre le service, même simplement, au sein de la CVX, c’est la découvrir de l’intérieur, apprendre à mieux la connaitre et donc à mieux l’aimer ; c’est sentir que j’en fais vraiment partie, c’est m’ouvrir à la dimension de « corps ».</w:t>
      </w:r>
    </w:p>
    <w:p w:rsidR="00782402" w:rsidRPr="00B510D5" w:rsidRDefault="00782402" w:rsidP="000861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</w:rPr>
      </w:pPr>
    </w:p>
    <w:p w:rsidR="0008615D" w:rsidRPr="00B510D5" w:rsidRDefault="0008615D" w:rsidP="000861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</w:rPr>
      </w:pP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  <w:b/>
          <w:u w:val="single"/>
        </w:rPr>
      </w:pPr>
      <w:r w:rsidRPr="00B510D5">
        <w:rPr>
          <w:rFonts w:asciiTheme="majorHAnsi" w:hAnsiTheme="majorHAnsi" w:cstheme="majorHAnsi"/>
          <w:b/>
          <w:u w:val="single"/>
        </w:rPr>
        <w:t>Pistes :</w:t>
      </w: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</w:rPr>
      </w:pPr>
      <w:r w:rsidRPr="00B510D5">
        <w:rPr>
          <w:rFonts w:asciiTheme="majorHAnsi" w:hAnsiTheme="majorHAnsi" w:cstheme="majorHAnsi"/>
        </w:rPr>
        <w:t xml:space="preserve">- vivre un service humble et concret : </w:t>
      </w:r>
    </w:p>
    <w:p w:rsidR="0008615D" w:rsidRPr="00B510D5" w:rsidRDefault="0008615D" w:rsidP="0008615D">
      <w:pPr>
        <w:tabs>
          <w:tab w:val="left" w:pos="709"/>
        </w:tabs>
        <w:ind w:left="-284"/>
        <w:rPr>
          <w:rFonts w:asciiTheme="majorHAnsi" w:hAnsiTheme="majorHAnsi" w:cstheme="majorHAnsi"/>
        </w:rPr>
      </w:pPr>
      <w:r w:rsidRPr="00B510D5">
        <w:rPr>
          <w:rFonts w:asciiTheme="majorHAnsi" w:hAnsiTheme="majorHAnsi" w:cstheme="majorHAnsi"/>
        </w:rPr>
        <w:tab/>
        <w:t xml:space="preserve">- la session Amar y servir à </w:t>
      </w:r>
      <w:proofErr w:type="spellStart"/>
      <w:r w:rsidRPr="00B510D5">
        <w:rPr>
          <w:rFonts w:asciiTheme="majorHAnsi" w:hAnsiTheme="majorHAnsi" w:cstheme="majorHAnsi"/>
        </w:rPr>
        <w:t>Biviers</w:t>
      </w:r>
      <w:proofErr w:type="spellEnd"/>
      <w:r w:rsidRPr="00B510D5">
        <w:rPr>
          <w:rFonts w:asciiTheme="majorHAnsi" w:hAnsiTheme="majorHAnsi" w:cstheme="majorHAnsi"/>
        </w:rPr>
        <w:t xml:space="preserve"> </w:t>
      </w:r>
      <w:r w:rsidRPr="00B510D5">
        <w:rPr>
          <w:rFonts w:asciiTheme="majorHAnsi" w:hAnsiTheme="majorHAnsi" w:cstheme="majorHAnsi"/>
          <w:b/>
          <w:i/>
        </w:rPr>
        <w:t>(présentation ci-dessous)</w:t>
      </w:r>
      <w:r w:rsidRPr="00B510D5">
        <w:rPr>
          <w:rFonts w:asciiTheme="majorHAnsi" w:hAnsiTheme="majorHAnsi" w:cstheme="majorHAnsi"/>
        </w:rPr>
        <w:t xml:space="preserve"> </w:t>
      </w:r>
    </w:p>
    <w:p w:rsidR="0008615D" w:rsidRPr="00B510D5" w:rsidRDefault="0008615D" w:rsidP="0008615D">
      <w:pPr>
        <w:tabs>
          <w:tab w:val="left" w:pos="709"/>
        </w:tabs>
        <w:ind w:left="-284"/>
        <w:rPr>
          <w:rFonts w:asciiTheme="majorHAnsi" w:hAnsiTheme="majorHAnsi" w:cstheme="majorHAnsi"/>
        </w:rPr>
      </w:pPr>
      <w:r w:rsidRPr="00B510D5">
        <w:rPr>
          <w:rFonts w:asciiTheme="majorHAnsi" w:hAnsiTheme="majorHAnsi" w:cstheme="majorHAnsi"/>
        </w:rPr>
        <w:tab/>
        <w:t>- une tâche matérielle pour l’ESCR, le national (administratif, mise à jour de fichier…)</w:t>
      </w:r>
    </w:p>
    <w:p w:rsidR="0008615D" w:rsidRPr="00B510D5" w:rsidRDefault="0008615D" w:rsidP="0008615D">
      <w:pPr>
        <w:tabs>
          <w:tab w:val="left" w:pos="709"/>
        </w:tabs>
        <w:ind w:left="-284"/>
        <w:rPr>
          <w:rFonts w:asciiTheme="majorHAnsi" w:hAnsiTheme="majorHAnsi" w:cstheme="majorHAnsi"/>
          <w:i/>
        </w:rPr>
      </w:pPr>
      <w:r w:rsidRPr="00B510D5">
        <w:rPr>
          <w:rFonts w:asciiTheme="majorHAnsi" w:hAnsiTheme="majorHAnsi" w:cstheme="majorHAnsi"/>
        </w:rPr>
        <w:tab/>
      </w:r>
      <w:r w:rsidRPr="00B510D5">
        <w:rPr>
          <w:rFonts w:asciiTheme="majorHAnsi" w:hAnsiTheme="majorHAnsi" w:cstheme="majorHAnsi"/>
        </w:rPr>
        <w:tab/>
      </w:r>
      <w:r w:rsidRPr="00B510D5">
        <w:rPr>
          <w:rFonts w:asciiTheme="majorHAnsi" w:hAnsiTheme="majorHAnsi" w:cstheme="majorHAnsi"/>
          <w:i/>
        </w:rPr>
        <w:t xml:space="preserve">-&gt; se rapprocher de l’ESCR pour connaître les besoins </w:t>
      </w: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</w:rPr>
      </w:pPr>
      <w:r w:rsidRPr="00B510D5">
        <w:rPr>
          <w:rFonts w:asciiTheme="majorHAnsi" w:hAnsiTheme="majorHAnsi" w:cstheme="majorHAnsi"/>
        </w:rPr>
        <w:t xml:space="preserve">- en CL, prendre en charge l’organisation d’un temps spirituel ou convivial pour la région </w:t>
      </w: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</w:rPr>
      </w:pPr>
      <w:r w:rsidRPr="00B510D5">
        <w:rPr>
          <w:rFonts w:asciiTheme="majorHAnsi" w:hAnsiTheme="majorHAnsi" w:cstheme="majorHAnsi"/>
        </w:rPr>
        <w:t>- se mettre au service d’une formation pour les membres (formation responsable, formation chargés de découverte…)</w:t>
      </w: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</w:rPr>
      </w:pP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  <w:b/>
          <w:u w:val="single"/>
        </w:rPr>
      </w:pPr>
      <w:r w:rsidRPr="00B510D5">
        <w:rPr>
          <w:rFonts w:asciiTheme="majorHAnsi" w:hAnsiTheme="majorHAnsi" w:cstheme="majorHAnsi"/>
          <w:b/>
          <w:u w:val="single"/>
        </w:rPr>
        <w:t xml:space="preserve">Vivre ce temps de service comme un exercice spirituel : </w:t>
      </w: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</w:rPr>
      </w:pPr>
      <w:r w:rsidRPr="00B510D5">
        <w:rPr>
          <w:rFonts w:asciiTheme="majorHAnsi" w:hAnsiTheme="majorHAnsi" w:cstheme="majorHAnsi"/>
        </w:rPr>
        <w:t>- personnellement ou en CL, choisir un service à rendre à ma portée, parmi les services proposés,</w:t>
      </w: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</w:rPr>
      </w:pPr>
      <w:r w:rsidRPr="00B510D5">
        <w:rPr>
          <w:rFonts w:asciiTheme="majorHAnsi" w:hAnsiTheme="majorHAnsi" w:cstheme="majorHAnsi"/>
        </w:rPr>
        <w:t xml:space="preserve">- le jour venu, avant de commencer cette activité de service, faire les préambules de la prière </w:t>
      </w:r>
      <w:proofErr w:type="spellStart"/>
      <w:r w:rsidRPr="00B510D5">
        <w:rPr>
          <w:rFonts w:asciiTheme="majorHAnsi" w:hAnsiTheme="majorHAnsi" w:cstheme="majorHAnsi"/>
        </w:rPr>
        <w:t>ignatienne</w:t>
      </w:r>
      <w:proofErr w:type="spellEnd"/>
      <w:r w:rsidRPr="00B510D5">
        <w:rPr>
          <w:rFonts w:asciiTheme="majorHAnsi" w:hAnsiTheme="majorHAnsi" w:cstheme="majorHAnsi"/>
        </w:rPr>
        <w:t>,</w:t>
      </w: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</w:rPr>
      </w:pPr>
      <w:r w:rsidRPr="00B510D5">
        <w:rPr>
          <w:rFonts w:asciiTheme="majorHAnsi" w:hAnsiTheme="majorHAnsi" w:cstheme="majorHAnsi"/>
        </w:rPr>
        <w:t>- se livrer simplement et complètement à la rencontre, au service,</w:t>
      </w: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</w:rPr>
      </w:pPr>
      <w:r w:rsidRPr="00B510D5">
        <w:rPr>
          <w:rFonts w:asciiTheme="majorHAnsi" w:hAnsiTheme="majorHAnsi" w:cstheme="majorHAnsi"/>
        </w:rPr>
        <w:t>- faire un colloque après le service,</w:t>
      </w: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</w:rPr>
      </w:pPr>
      <w:r w:rsidRPr="00B510D5">
        <w:rPr>
          <w:rFonts w:asciiTheme="majorHAnsi" w:hAnsiTheme="majorHAnsi" w:cstheme="majorHAnsi"/>
        </w:rPr>
        <w:t>- relire le soir ou en équipe ce qui s’est passé, ce qui s’est révélé.</w:t>
      </w: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  <w:b/>
          <w:u w:val="single"/>
        </w:rPr>
      </w:pP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  <w:b/>
          <w:i/>
          <w:sz w:val="32"/>
          <w:u w:val="single"/>
        </w:rPr>
      </w:pP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</w:rPr>
      </w:pPr>
      <w:r w:rsidRPr="00B510D5">
        <w:rPr>
          <w:rFonts w:asciiTheme="majorHAnsi" w:hAnsiTheme="majorHAnsi" w:cstheme="majorHAnsi"/>
          <w:b/>
          <w:i/>
          <w:sz w:val="32"/>
          <w:u w:val="single"/>
        </w:rPr>
        <w:t>Qu’est-ce qu’une session AMAR Y SERVIR ?</w:t>
      </w: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</w:rPr>
      </w:pPr>
      <w:r w:rsidRPr="00B510D5">
        <w:rPr>
          <w:rFonts w:asciiTheme="majorHAnsi" w:hAnsiTheme="majorHAnsi" w:cstheme="majorHAnsi"/>
        </w:rPr>
        <w:t xml:space="preserve">Il s’agit d’une session de bénévolat sur 7 jours dans une démarche spirituelle au centre Saint Hugues de </w:t>
      </w:r>
      <w:proofErr w:type="spellStart"/>
      <w:r w:rsidRPr="00B510D5">
        <w:rPr>
          <w:rFonts w:asciiTheme="majorHAnsi" w:hAnsiTheme="majorHAnsi" w:cstheme="majorHAnsi"/>
        </w:rPr>
        <w:t>Biviers</w:t>
      </w:r>
      <w:proofErr w:type="spellEnd"/>
      <w:r w:rsidRPr="00B510D5">
        <w:rPr>
          <w:rFonts w:asciiTheme="majorHAnsi" w:hAnsiTheme="majorHAnsi" w:cstheme="majorHAnsi"/>
        </w:rPr>
        <w:t>.</w:t>
      </w: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</w:rPr>
      </w:pP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</w:rPr>
      </w:pPr>
      <w:r w:rsidRPr="00B510D5">
        <w:rPr>
          <w:rFonts w:asciiTheme="majorHAnsi" w:hAnsiTheme="majorHAnsi" w:cstheme="majorHAnsi"/>
        </w:rPr>
        <w:lastRenderedPageBreak/>
        <w:t>Les bénévoles constituent un groupe de 5 à 6 personnes, accompagné par une personne « écoutante » (laïque ou religieuse). Ils sont au service des retraitants présents à Saint Hugues et vivent eux-mêmes leur propre démarche spirituelle.</w:t>
      </w: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</w:rPr>
      </w:pP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  <w:u w:val="single"/>
        </w:rPr>
      </w:pPr>
      <w:r w:rsidRPr="00B510D5">
        <w:rPr>
          <w:rFonts w:asciiTheme="majorHAnsi" w:hAnsiTheme="majorHAnsi" w:cstheme="majorHAnsi"/>
          <w:u w:val="single"/>
        </w:rPr>
        <w:t xml:space="preserve">Organisation d’une journée type :  </w:t>
      </w: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</w:rPr>
      </w:pPr>
      <w:r w:rsidRPr="00B510D5">
        <w:rPr>
          <w:rFonts w:asciiTheme="majorHAnsi" w:hAnsiTheme="majorHAnsi" w:cstheme="majorHAnsi"/>
        </w:rPr>
        <w:t xml:space="preserve">• 7h45 – 14h30 : petit-déjeuner, prière communautaire, temps spirituel, services (1) et repas  </w:t>
      </w: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</w:rPr>
      </w:pPr>
      <w:r w:rsidRPr="00B510D5">
        <w:rPr>
          <w:rFonts w:asciiTheme="majorHAnsi" w:hAnsiTheme="majorHAnsi" w:cstheme="majorHAnsi"/>
        </w:rPr>
        <w:t xml:space="preserve">• 14h30 – 17h45 : repos, détente (balades, baignades au lac, visites…)  </w:t>
      </w: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</w:rPr>
      </w:pPr>
      <w:r w:rsidRPr="00B510D5">
        <w:rPr>
          <w:rFonts w:asciiTheme="majorHAnsi" w:hAnsiTheme="majorHAnsi" w:cstheme="majorHAnsi"/>
        </w:rPr>
        <w:t xml:space="preserve">• 17h45 – 21h00 : services, eucharistie, repas,   </w:t>
      </w: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</w:rPr>
      </w:pPr>
      <w:r w:rsidRPr="00B510D5">
        <w:rPr>
          <w:rFonts w:asciiTheme="majorHAnsi" w:hAnsiTheme="majorHAnsi" w:cstheme="majorHAnsi"/>
        </w:rPr>
        <w:t>• 21h00 – 21h30 : relecture de la journée.</w:t>
      </w:r>
    </w:p>
    <w:p w:rsidR="0008615D" w:rsidRPr="00B510D5" w:rsidRDefault="0008615D" w:rsidP="0008615D">
      <w:pPr>
        <w:pStyle w:val="Paragraphedeliste"/>
        <w:numPr>
          <w:ilvl w:val="0"/>
          <w:numId w:val="1"/>
        </w:numPr>
        <w:tabs>
          <w:tab w:val="left" w:pos="6420"/>
        </w:tabs>
        <w:rPr>
          <w:rFonts w:asciiTheme="majorHAnsi" w:hAnsiTheme="majorHAnsi" w:cstheme="majorHAnsi"/>
        </w:rPr>
      </w:pPr>
      <w:r w:rsidRPr="00B510D5">
        <w:rPr>
          <w:rFonts w:asciiTheme="majorHAnsi" w:hAnsiTheme="majorHAnsi" w:cstheme="majorHAnsi"/>
        </w:rPr>
        <w:t xml:space="preserve">Services : ménage, service de table, plonge, liturgie, jardinage, bouquets, </w:t>
      </w:r>
      <w:proofErr w:type="spellStart"/>
      <w:r w:rsidRPr="00B510D5">
        <w:rPr>
          <w:rFonts w:asciiTheme="majorHAnsi" w:hAnsiTheme="majorHAnsi" w:cstheme="majorHAnsi"/>
        </w:rPr>
        <w:t>etc</w:t>
      </w:r>
      <w:proofErr w:type="spellEnd"/>
    </w:p>
    <w:p w:rsidR="0008615D" w:rsidRPr="00B510D5" w:rsidRDefault="0008615D" w:rsidP="0008615D">
      <w:pPr>
        <w:tabs>
          <w:tab w:val="left" w:pos="6420"/>
        </w:tabs>
        <w:rPr>
          <w:rFonts w:asciiTheme="majorHAnsi" w:hAnsiTheme="majorHAnsi" w:cstheme="majorHAnsi"/>
        </w:rPr>
      </w:pP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</w:rPr>
      </w:pPr>
      <w:r w:rsidRPr="00B510D5">
        <w:rPr>
          <w:rFonts w:asciiTheme="majorHAnsi" w:hAnsiTheme="majorHAnsi" w:cstheme="majorHAnsi"/>
        </w:rPr>
        <w:t>Les temps de prière communautaires (prière du matin et eucharistie quotidienne avec les retraitants) ou personnels (temps libre permettant le ressourcement intérieur), le « topo » du matin de l’accompagnant, la relecture du soir, sont autant de jalon dans la journée pour mettre Dieu au cœur du service et voir comment Il agit en nous à travers le service.</w:t>
      </w: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</w:rPr>
      </w:pPr>
      <w:r w:rsidRPr="00B510D5">
        <w:rPr>
          <w:rFonts w:asciiTheme="majorHAnsi" w:hAnsiTheme="majorHAnsi" w:cstheme="majorHAnsi"/>
        </w:rPr>
        <w:t>Le service prend alors une autre dimension et est vécu souvent dans la joie (même s’il s’agit de nettoyer les toilettes !!).</w:t>
      </w: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</w:rPr>
      </w:pPr>
      <w:r w:rsidRPr="00B510D5">
        <w:rPr>
          <w:rFonts w:asciiTheme="majorHAnsi" w:hAnsiTheme="majorHAnsi" w:cstheme="majorHAnsi"/>
        </w:rPr>
        <w:t xml:space="preserve">La dimension communautaire (= le groupe de bénévoles) est </w:t>
      </w:r>
      <w:proofErr w:type="gramStart"/>
      <w:r w:rsidRPr="00B510D5">
        <w:rPr>
          <w:rFonts w:asciiTheme="majorHAnsi" w:hAnsiTheme="majorHAnsi" w:cstheme="majorHAnsi"/>
        </w:rPr>
        <w:t>un</w:t>
      </w:r>
      <w:proofErr w:type="gramEnd"/>
      <w:r w:rsidRPr="00B510D5">
        <w:rPr>
          <w:rFonts w:asciiTheme="majorHAnsi" w:hAnsiTheme="majorHAnsi" w:cstheme="majorHAnsi"/>
        </w:rPr>
        <w:t xml:space="preserve"> vraie richesse : souvent complémentaires (âges, appartenance ou non à CVX, parcours de vie, …),  les bénévoles s’entraident, souvent dans la joie et la bonne humeur, et prennent aussi du bon temps ensemble (détente l’après-midi).</w:t>
      </w: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</w:rPr>
      </w:pP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</w:rPr>
      </w:pPr>
      <w:r w:rsidRPr="00B510D5">
        <w:rPr>
          <w:rFonts w:asciiTheme="majorHAnsi" w:hAnsiTheme="majorHAnsi" w:cstheme="majorHAnsi"/>
        </w:rPr>
        <w:t xml:space="preserve">Pour connaître les dates ses sessions  « Amar y servir » : </w:t>
      </w:r>
      <w:r w:rsidR="00776B5F" w:rsidRPr="00B510D5">
        <w:rPr>
          <w:rFonts w:asciiTheme="majorHAnsi" w:hAnsiTheme="majorHAnsi" w:cstheme="majorHAnsi"/>
        </w:rPr>
        <w:t>se rapprocher de votre correspondant formation ou consulter le site de la CVX, dans la rubrique « formation », les différentes propositions.</w:t>
      </w:r>
    </w:p>
    <w:p w:rsidR="0008615D" w:rsidRPr="00B510D5" w:rsidRDefault="0008615D" w:rsidP="0008615D">
      <w:pPr>
        <w:tabs>
          <w:tab w:val="left" w:pos="6420"/>
        </w:tabs>
        <w:ind w:left="-284"/>
        <w:rPr>
          <w:rFonts w:asciiTheme="majorHAnsi" w:hAnsiTheme="majorHAnsi" w:cstheme="majorHAnsi"/>
        </w:rPr>
      </w:pPr>
    </w:p>
    <w:bookmarkEnd w:id="0"/>
    <w:p w:rsidR="00F13C02" w:rsidRPr="00B510D5" w:rsidRDefault="00EC3579" w:rsidP="0008615D">
      <w:pPr>
        <w:rPr>
          <w:rFonts w:asciiTheme="majorHAnsi" w:hAnsiTheme="majorHAnsi" w:cstheme="majorHAnsi"/>
        </w:rPr>
      </w:pPr>
    </w:p>
    <w:sectPr w:rsidR="00F13C02" w:rsidRPr="00B510D5" w:rsidSect="003F2A46">
      <w:footerReference w:type="default" r:id="rId10"/>
      <w:pgSz w:w="11900" w:h="16840"/>
      <w:pgMar w:top="1417" w:right="70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79" w:rsidRDefault="00EC3579">
      <w:r>
        <w:separator/>
      </w:r>
    </w:p>
  </w:endnote>
  <w:endnote w:type="continuationSeparator" w:id="0">
    <w:p w:rsidR="00EC3579" w:rsidRDefault="00EC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402" w:rsidRDefault="00782402" w:rsidP="00782402">
    <w:pPr>
      <w:pStyle w:val="Pieddepage"/>
      <w:jc w:val="right"/>
    </w:pPr>
    <w:r>
      <w:t>Novembre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79" w:rsidRDefault="00EC3579">
      <w:r>
        <w:separator/>
      </w:r>
    </w:p>
  </w:footnote>
  <w:footnote w:type="continuationSeparator" w:id="0">
    <w:p w:rsidR="00EC3579" w:rsidRDefault="00EC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80006"/>
    <w:multiLevelType w:val="hybridMultilevel"/>
    <w:tmpl w:val="CF709CBC"/>
    <w:lvl w:ilvl="0" w:tplc="20EA21FA">
      <w:start w:val="1"/>
      <w:numFmt w:val="decimal"/>
      <w:lvlText w:val="(%1)"/>
      <w:lvlJc w:val="left"/>
      <w:pPr>
        <w:ind w:left="91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49"/>
    <w:rsid w:val="0008615D"/>
    <w:rsid w:val="0012260C"/>
    <w:rsid w:val="001660C2"/>
    <w:rsid w:val="00322297"/>
    <w:rsid w:val="003F2A46"/>
    <w:rsid w:val="003F3F44"/>
    <w:rsid w:val="00561282"/>
    <w:rsid w:val="00776B5F"/>
    <w:rsid w:val="00782402"/>
    <w:rsid w:val="00795F49"/>
    <w:rsid w:val="00861DCD"/>
    <w:rsid w:val="008B3489"/>
    <w:rsid w:val="009E07FC"/>
    <w:rsid w:val="00A505A2"/>
    <w:rsid w:val="00A65759"/>
    <w:rsid w:val="00B510D5"/>
    <w:rsid w:val="00EC3579"/>
    <w:rsid w:val="00F157CE"/>
    <w:rsid w:val="00F16D71"/>
    <w:rsid w:val="00F349B5"/>
    <w:rsid w:val="00F82A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15D"/>
    <w:rPr>
      <w:rFonts w:eastAsiaTheme="minorEastAsia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615D"/>
    <w:pPr>
      <w:ind w:left="720"/>
      <w:contextualSpacing/>
    </w:pPr>
    <w:rPr>
      <w:rFonts w:eastAsiaTheme="minorHAnsi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7824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82402"/>
    <w:rPr>
      <w:rFonts w:eastAsiaTheme="minorEastAsia"/>
      <w:lang w:eastAsia="ja-JP"/>
    </w:rPr>
  </w:style>
  <w:style w:type="paragraph" w:styleId="Pieddepage">
    <w:name w:val="footer"/>
    <w:basedOn w:val="Normal"/>
    <w:link w:val="PieddepageCar"/>
    <w:uiPriority w:val="99"/>
    <w:semiHidden/>
    <w:unhideWhenUsed/>
    <w:rsid w:val="007824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82402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15D"/>
    <w:rPr>
      <w:rFonts w:eastAsiaTheme="minorEastAsia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615D"/>
    <w:pPr>
      <w:ind w:left="720"/>
      <w:contextualSpacing/>
    </w:pPr>
    <w:rPr>
      <w:rFonts w:eastAsiaTheme="minorHAnsi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7824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82402"/>
    <w:rPr>
      <w:rFonts w:eastAsiaTheme="minorEastAsia"/>
      <w:lang w:eastAsia="ja-JP"/>
    </w:rPr>
  </w:style>
  <w:style w:type="paragraph" w:styleId="Pieddepage">
    <w:name w:val="footer"/>
    <w:basedOn w:val="Normal"/>
    <w:link w:val="PieddepageCar"/>
    <w:uiPriority w:val="99"/>
    <w:semiHidden/>
    <w:unhideWhenUsed/>
    <w:rsid w:val="007824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82402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Marie-Catherine Guyot</dc:creator>
  <cp:keywords/>
  <cp:lastModifiedBy>ZERLAUTH</cp:lastModifiedBy>
  <cp:revision>2</cp:revision>
  <dcterms:created xsi:type="dcterms:W3CDTF">2014-12-10T20:57:00Z</dcterms:created>
  <dcterms:modified xsi:type="dcterms:W3CDTF">2014-12-10T20:57:00Z</dcterms:modified>
</cp:coreProperties>
</file>